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CDC" w:rsidRPr="005F1CDC" w:rsidRDefault="005F1CDC" w:rsidP="005F1CDC">
      <w:pPr>
        <w:ind w:left="705" w:hanging="705"/>
        <w:jc w:val="center"/>
        <w:rPr>
          <w:rFonts w:ascii="Baskerville" w:hAnsi="Baskerville" w:cs="Calibri"/>
          <w:sz w:val="24"/>
          <w:szCs w:val="24"/>
        </w:rPr>
      </w:pPr>
      <w:r w:rsidRPr="005F1CDC">
        <w:rPr>
          <w:rFonts w:ascii="Baskerville" w:hAnsi="Baskerville" w:cs="Calibri"/>
          <w:sz w:val="24"/>
          <w:szCs w:val="24"/>
        </w:rPr>
        <w:t>Facultad de Ingeniería.</w:t>
      </w:r>
    </w:p>
    <w:p w:rsidR="005F1CDC" w:rsidRPr="005F1CDC" w:rsidRDefault="005F1CDC" w:rsidP="005F1CDC">
      <w:pPr>
        <w:jc w:val="center"/>
        <w:rPr>
          <w:rFonts w:ascii="Baskerville" w:hAnsi="Baskerville"/>
          <w:sz w:val="24"/>
          <w:szCs w:val="24"/>
        </w:rPr>
      </w:pPr>
      <w:r w:rsidRPr="005F1CDC">
        <w:rPr>
          <w:rFonts w:ascii="Baskerville" w:hAnsi="Baskerville"/>
          <w:sz w:val="24"/>
          <w:szCs w:val="24"/>
        </w:rPr>
        <w:t>Ingeniería Legal (Ingeniero Civil) (1227)</w:t>
      </w:r>
    </w:p>
    <w:p w:rsidR="005F1CDC" w:rsidRPr="005F1CDC" w:rsidRDefault="005F1CDC" w:rsidP="005F1CDC">
      <w:pPr>
        <w:ind w:left="705" w:hanging="705"/>
        <w:jc w:val="center"/>
        <w:rPr>
          <w:rFonts w:ascii="Baskerville" w:hAnsi="Baskerville" w:cs="Calibri"/>
          <w:sz w:val="24"/>
          <w:szCs w:val="24"/>
        </w:rPr>
      </w:pPr>
      <w:r w:rsidRPr="005F1CDC">
        <w:rPr>
          <w:rFonts w:ascii="Baskerville" w:hAnsi="Baskerville" w:cs="Calibri"/>
          <w:sz w:val="24"/>
          <w:szCs w:val="24"/>
          <w:u w:val="single"/>
        </w:rPr>
        <w:t>EXAMEN LIBRE</w:t>
      </w:r>
    </w:p>
    <w:p w:rsidR="005F1CDC" w:rsidRPr="005F1CDC" w:rsidRDefault="005F1CDC" w:rsidP="005F1CDC">
      <w:pPr>
        <w:ind w:left="705" w:hanging="705"/>
        <w:jc w:val="center"/>
        <w:rPr>
          <w:rFonts w:ascii="Baskerville" w:hAnsi="Baskerville" w:cs="Calibri"/>
          <w:color w:val="000000"/>
          <w:sz w:val="24"/>
          <w:szCs w:val="24"/>
        </w:rPr>
      </w:pPr>
      <w:r w:rsidRPr="005F1CDC">
        <w:rPr>
          <w:rFonts w:ascii="Baskerville" w:hAnsi="Baskerville" w:cs="Calibri"/>
          <w:sz w:val="24"/>
          <w:szCs w:val="24"/>
        </w:rPr>
        <w:t>17 de febrero de 2021</w:t>
      </w:r>
      <w:r w:rsidRPr="005F1CDC">
        <w:rPr>
          <w:rFonts w:ascii="Baskerville" w:hAnsi="Baskerville" w:cs="Calibri"/>
          <w:color w:val="000000"/>
          <w:sz w:val="24"/>
          <w:szCs w:val="24"/>
        </w:rPr>
        <w:t>, hora 17,30 a 19,30, por zoom</w:t>
      </w:r>
    </w:p>
    <w:p w:rsidR="005F1CDC" w:rsidRPr="005F1CDC" w:rsidRDefault="005F1CDC" w:rsidP="005F1CDC">
      <w:pPr>
        <w:ind w:left="705" w:hanging="705"/>
        <w:rPr>
          <w:rFonts w:ascii="Baskerville" w:hAnsi="Baskerville" w:cs="Calibri"/>
          <w:sz w:val="24"/>
          <w:szCs w:val="24"/>
        </w:rPr>
      </w:pPr>
    </w:p>
    <w:p w:rsidR="005F1CDC" w:rsidRPr="005F1CDC" w:rsidRDefault="005F1CDC" w:rsidP="005F1CDC">
      <w:pPr>
        <w:ind w:left="705" w:hanging="705"/>
        <w:jc w:val="both"/>
        <w:rPr>
          <w:rFonts w:ascii="Baskerville" w:hAnsi="Baskerville" w:cs="Calibri"/>
          <w:color w:val="000000"/>
          <w:sz w:val="24"/>
          <w:szCs w:val="24"/>
        </w:rPr>
      </w:pPr>
      <w:r w:rsidRPr="005F1CDC">
        <w:rPr>
          <w:rFonts w:ascii="Baskerville" w:hAnsi="Baskerville" w:cs="Calibri"/>
          <w:color w:val="000000"/>
          <w:sz w:val="24"/>
          <w:szCs w:val="24"/>
        </w:rPr>
        <w:t>Instrucciones:</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Lea detenidamente el cuestionario antes de responder, ponga su nombre cédula y carrera.</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El cuestionario de la prueba consta de 6 módulos</w:t>
      </w:r>
      <w:bookmarkStart w:id="0" w:name="_GoBack"/>
      <w:bookmarkEnd w:id="0"/>
      <w:r w:rsidRPr="005F1CDC">
        <w:rPr>
          <w:rFonts w:ascii="Baskerville" w:hAnsi="Baskerville" w:cs="Calibri"/>
          <w:color w:val="000000"/>
          <w:sz w:val="24"/>
          <w:szCs w:val="24"/>
        </w:rPr>
        <w:t>.</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Escriba en el mismo archivo enviado, debajo de cada pregunta y reenvíe el mismo en la propuesta original, con su nombre y número de cédula de identidad.</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 xml:space="preserve">Las comunicaciones se establecerán por el sitio EVA. </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u w:val="single"/>
        </w:rPr>
        <w:t>Conecte la cámara del computador y la del celular al ingresar. La del computador de frente al estudiante y la del celular de forma que se pueda ver la pantalla y el escritorio alrededor del computador. El examen es personal. Se puede consultar la legislación, pero no en el propio computador. No se debe salir de la pantalla del examen. POR FAVOR RESPONDA DEBAJO DE LA PREGUNTA.</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El examen se propondrá en el sitio zoom descrito en EVA y su correspondiente clave, la misma con la  que se dictó el curso. Aquel estudiante que no posea estos medios debe recurrir a Fing en procura de un equipo en la sala correspondiente para el día y hora del examen.</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 xml:space="preserve">Se enviará por EVA la propuesta en formato word y la misma se debe devolver al correo </w:t>
      </w:r>
      <w:hyperlink r:id="rId5" w:history="1">
        <w:r w:rsidRPr="005F1CDC">
          <w:rPr>
            <w:rStyle w:val="Hipervnculo"/>
            <w:rFonts w:ascii="Baskerville" w:hAnsi="Baskerville" w:cs="Calibri"/>
            <w:sz w:val="24"/>
            <w:szCs w:val="24"/>
          </w:rPr>
          <w:t>rbecerra@vera.com.uy</w:t>
        </w:r>
      </w:hyperlink>
      <w:r w:rsidRPr="005F1CDC">
        <w:rPr>
          <w:rFonts w:ascii="Baskerville" w:hAnsi="Baskerville" w:cs="Calibri"/>
          <w:color w:val="000000"/>
          <w:sz w:val="24"/>
          <w:szCs w:val="24"/>
        </w:rPr>
        <w:t xml:space="preserve"> antes de las 16 horas en el mismo formato. A cada estudiante se responderá “recibido”. Envíelo UNA sola vez, por favor.</w:t>
      </w:r>
    </w:p>
    <w:p w:rsidR="005F1CDC" w:rsidRPr="005F1CDC" w:rsidRDefault="005F1CDC" w:rsidP="005F1CDC">
      <w:pPr>
        <w:numPr>
          <w:ilvl w:val="0"/>
          <w:numId w:val="1"/>
        </w:numPr>
        <w:suppressAutoHyphens/>
        <w:spacing w:after="0" w:line="240" w:lineRule="auto"/>
        <w:jc w:val="both"/>
        <w:rPr>
          <w:rFonts w:ascii="Baskerville" w:hAnsi="Baskerville" w:cs="Calibri"/>
          <w:color w:val="000000"/>
          <w:sz w:val="24"/>
          <w:szCs w:val="24"/>
        </w:rPr>
      </w:pPr>
      <w:r w:rsidRPr="005F1CDC">
        <w:rPr>
          <w:rFonts w:ascii="Baskerville" w:hAnsi="Baskerville" w:cs="Calibri"/>
          <w:color w:val="000000"/>
          <w:sz w:val="24"/>
          <w:szCs w:val="24"/>
        </w:rPr>
        <w:t>Al enviarlo agregue al nombre del archivo su nombre al final.</w:t>
      </w:r>
    </w:p>
    <w:p w:rsidR="005F1CDC" w:rsidRPr="005F1CDC" w:rsidRDefault="005F1CDC" w:rsidP="005F1CDC">
      <w:pPr>
        <w:ind w:left="720"/>
        <w:jc w:val="both"/>
        <w:rPr>
          <w:rFonts w:ascii="Baskerville" w:hAnsi="Baskerville" w:cs="Calibri"/>
          <w:color w:val="000000"/>
          <w:sz w:val="24"/>
          <w:szCs w:val="24"/>
        </w:rPr>
      </w:pPr>
    </w:p>
    <w:p w:rsidR="005F1CDC" w:rsidRPr="005F1CDC" w:rsidRDefault="005F1CDC" w:rsidP="005F1CDC">
      <w:pPr>
        <w:ind w:left="360"/>
        <w:jc w:val="center"/>
        <w:rPr>
          <w:rFonts w:ascii="Baskerville" w:hAnsi="Baskerville" w:cs="Calibri"/>
          <w:b/>
          <w:color w:val="000000"/>
          <w:sz w:val="24"/>
          <w:szCs w:val="24"/>
          <w:u w:val="single"/>
        </w:rPr>
      </w:pPr>
      <w:r w:rsidRPr="005F1CDC">
        <w:rPr>
          <w:rFonts w:ascii="Baskerville" w:hAnsi="Baskerville" w:cs="Calibri"/>
          <w:b/>
          <w:color w:val="000000"/>
          <w:sz w:val="24"/>
          <w:szCs w:val="24"/>
          <w:u w:val="single"/>
        </w:rPr>
        <w:t>CUESTIONARIO</w:t>
      </w:r>
    </w:p>
    <w:p w:rsidR="005F1CDC" w:rsidRPr="005F1CDC" w:rsidRDefault="005F1CDC" w:rsidP="005F1CDC">
      <w:pPr>
        <w:ind w:left="284" w:hanging="284"/>
        <w:rPr>
          <w:rFonts w:ascii="Baskerville" w:hAnsi="Baskerville"/>
          <w:b/>
          <w:sz w:val="24"/>
          <w:szCs w:val="24"/>
        </w:rPr>
      </w:pPr>
    </w:p>
    <w:p w:rsidR="005F1CDC" w:rsidRPr="005F1CDC" w:rsidRDefault="005F1CDC" w:rsidP="005F1CDC">
      <w:pPr>
        <w:ind w:left="284" w:hanging="284"/>
        <w:rPr>
          <w:rFonts w:ascii="Baskerville" w:hAnsi="Baskerville"/>
          <w:b/>
          <w:sz w:val="24"/>
          <w:szCs w:val="24"/>
        </w:rPr>
      </w:pPr>
      <w:r w:rsidRPr="005F1CDC">
        <w:rPr>
          <w:rFonts w:ascii="Baskerville" w:hAnsi="Baskerville"/>
          <w:b/>
          <w:sz w:val="24"/>
          <w:szCs w:val="24"/>
        </w:rPr>
        <w:t>Nombre del alumno:</w:t>
      </w:r>
    </w:p>
    <w:p w:rsidR="005F1CDC" w:rsidRPr="005F1CDC" w:rsidRDefault="005F1CDC" w:rsidP="005F1CDC">
      <w:pPr>
        <w:ind w:left="284" w:hanging="284"/>
        <w:rPr>
          <w:rFonts w:ascii="Baskerville" w:hAnsi="Baskerville"/>
          <w:b/>
          <w:sz w:val="24"/>
          <w:szCs w:val="24"/>
        </w:rPr>
      </w:pPr>
      <w:r w:rsidRPr="005F1CDC">
        <w:rPr>
          <w:rFonts w:ascii="Baskerville" w:hAnsi="Baskerville"/>
          <w:b/>
          <w:sz w:val="24"/>
          <w:szCs w:val="24"/>
        </w:rPr>
        <w:t>Cédula 1:111.111-1</w:t>
      </w:r>
    </w:p>
    <w:p w:rsidR="005F1CDC" w:rsidRPr="005F1CDC" w:rsidRDefault="005F1CDC" w:rsidP="005F1CDC">
      <w:pPr>
        <w:ind w:left="284" w:hanging="284"/>
        <w:rPr>
          <w:rFonts w:ascii="Baskerville" w:hAnsi="Baskerville"/>
          <w:b/>
          <w:sz w:val="24"/>
          <w:szCs w:val="24"/>
        </w:rPr>
      </w:pPr>
      <w:r w:rsidRPr="005F1CDC">
        <w:rPr>
          <w:rFonts w:ascii="Baskerville" w:hAnsi="Baskerville"/>
          <w:b/>
          <w:sz w:val="24"/>
          <w:szCs w:val="24"/>
        </w:rPr>
        <w:t>Carrera:</w:t>
      </w:r>
    </w:p>
    <w:p w:rsidR="005F1CDC" w:rsidRPr="005F1CDC" w:rsidRDefault="005F1CDC" w:rsidP="005F1CDC">
      <w:pPr>
        <w:ind w:firstLine="360"/>
        <w:jc w:val="both"/>
        <w:rPr>
          <w:rFonts w:ascii="Baskerville" w:hAnsi="Baskerville" w:cs="Calibri"/>
          <w:b/>
          <w:sz w:val="24"/>
          <w:szCs w:val="24"/>
        </w:rPr>
      </w:pPr>
      <w:r w:rsidRPr="005F1CDC">
        <w:rPr>
          <w:rFonts w:ascii="Baskerville" w:hAnsi="Baskerville" w:cs="Calibri"/>
          <w:b/>
          <w:sz w:val="24"/>
          <w:szCs w:val="24"/>
        </w:rPr>
        <w:t xml:space="preserve">Módulo 1: </w:t>
      </w:r>
      <w:r w:rsidRPr="005F1CDC">
        <w:rPr>
          <w:rFonts w:ascii="Baskerville" w:hAnsi="Baskerville" w:cs="Calibri"/>
          <w:b/>
          <w:sz w:val="24"/>
          <w:szCs w:val="24"/>
        </w:rPr>
        <w:tab/>
      </w:r>
    </w:p>
    <w:p w:rsidR="005F1CDC" w:rsidRPr="005F1CDC" w:rsidRDefault="005F1CDC" w:rsidP="005F1CDC">
      <w:pPr>
        <w:numPr>
          <w:ilvl w:val="0"/>
          <w:numId w:val="6"/>
        </w:numPr>
        <w:suppressAutoHyphens/>
        <w:spacing w:after="0" w:line="240" w:lineRule="auto"/>
        <w:ind w:left="284" w:hanging="284"/>
        <w:rPr>
          <w:rFonts w:ascii="Baskerville" w:hAnsi="Baskerville"/>
          <w:sz w:val="24"/>
          <w:szCs w:val="24"/>
        </w:rPr>
      </w:pPr>
      <w:r w:rsidRPr="005F1CDC">
        <w:rPr>
          <w:rFonts w:ascii="Baskerville" w:hAnsi="Baskerville"/>
          <w:sz w:val="24"/>
          <w:szCs w:val="24"/>
        </w:rPr>
        <w:t>¿Qué se entiende por Derecho Público?</w:t>
      </w:r>
    </w:p>
    <w:p w:rsidR="00895127" w:rsidRPr="005F1CDC" w:rsidRDefault="00895127" w:rsidP="00F0616B">
      <w:pPr>
        <w:ind w:firstLine="360"/>
        <w:jc w:val="both"/>
        <w:rPr>
          <w:rFonts w:ascii="Baskerville" w:hAnsi="Baskerville"/>
          <w:sz w:val="24"/>
          <w:szCs w:val="24"/>
        </w:rPr>
      </w:pPr>
      <w:r w:rsidRPr="005F1CDC">
        <w:rPr>
          <w:rFonts w:ascii="Baskerville" w:hAnsi="Baskerville" w:cstheme="minorHAnsi"/>
          <w:b/>
          <w:sz w:val="24"/>
          <w:szCs w:val="24"/>
        </w:rPr>
        <w:t>Módulo 2:</w:t>
      </w:r>
    </w:p>
    <w:p w:rsidR="00E70BF6" w:rsidRPr="005F1CDC" w:rsidRDefault="00895127" w:rsidP="00895127">
      <w:pPr>
        <w:ind w:firstLine="360"/>
        <w:jc w:val="both"/>
        <w:rPr>
          <w:rFonts w:ascii="Baskerville" w:hAnsi="Baskerville"/>
          <w:sz w:val="24"/>
          <w:szCs w:val="24"/>
        </w:rPr>
      </w:pPr>
      <w:r w:rsidRPr="005F1CDC">
        <w:rPr>
          <w:rFonts w:ascii="Baskerville" w:hAnsi="Baskerville"/>
          <w:sz w:val="24"/>
          <w:szCs w:val="24"/>
        </w:rPr>
        <w:lastRenderedPageBreak/>
        <w:t xml:space="preserve">2.- </w:t>
      </w:r>
      <w:r w:rsidR="00E70BF6" w:rsidRPr="005F1CDC">
        <w:rPr>
          <w:rFonts w:ascii="Baskerville" w:hAnsi="Baskerville"/>
          <w:sz w:val="24"/>
          <w:szCs w:val="24"/>
        </w:rPr>
        <w:t xml:space="preserve">Explique la libertad de acción de una persona física, según el artículo 10 de la Constitución y sus límites y </w:t>
      </w:r>
      <w:r w:rsidR="00663017" w:rsidRPr="005F1CDC">
        <w:rPr>
          <w:rFonts w:ascii="Baskerville" w:hAnsi="Baskerville"/>
          <w:sz w:val="24"/>
          <w:szCs w:val="24"/>
        </w:rPr>
        <w:t xml:space="preserve">en cotraposición, </w:t>
      </w:r>
      <w:r w:rsidR="00E70BF6" w:rsidRPr="005F1CDC">
        <w:rPr>
          <w:rFonts w:ascii="Baskerville" w:hAnsi="Baskerville"/>
          <w:sz w:val="24"/>
          <w:szCs w:val="24"/>
        </w:rPr>
        <w:t>que significa el principio de especificidad de las personas jurídicas en su accionar y también sus límites.</w:t>
      </w:r>
    </w:p>
    <w:p w:rsidR="00895127" w:rsidRPr="005F1CDC" w:rsidRDefault="00895127" w:rsidP="00895127">
      <w:pPr>
        <w:ind w:firstLine="360"/>
        <w:jc w:val="both"/>
        <w:rPr>
          <w:rFonts w:ascii="Baskerville" w:hAnsi="Baskerville"/>
          <w:sz w:val="24"/>
          <w:szCs w:val="24"/>
        </w:rPr>
      </w:pPr>
      <w:r w:rsidRPr="005F1CDC">
        <w:rPr>
          <w:rFonts w:ascii="Baskerville" w:hAnsi="Baskerville" w:cstheme="minorHAnsi"/>
          <w:b/>
          <w:sz w:val="24"/>
          <w:szCs w:val="24"/>
        </w:rPr>
        <w:t>Módulo 3:</w:t>
      </w:r>
    </w:p>
    <w:p w:rsidR="00A94435" w:rsidRPr="005F1CDC" w:rsidRDefault="00895127" w:rsidP="005F1CDC">
      <w:pPr>
        <w:ind w:firstLine="360"/>
        <w:jc w:val="both"/>
        <w:rPr>
          <w:rFonts w:ascii="Baskerville" w:hAnsi="Baskerville"/>
          <w:sz w:val="24"/>
          <w:szCs w:val="24"/>
        </w:rPr>
      </w:pPr>
      <w:r w:rsidRPr="005F1CDC">
        <w:rPr>
          <w:rFonts w:ascii="Baskerville" w:hAnsi="Baskerville"/>
          <w:sz w:val="24"/>
          <w:szCs w:val="24"/>
        </w:rPr>
        <w:t xml:space="preserve">3.- </w:t>
      </w:r>
      <w:r w:rsidR="005F1CDC" w:rsidRPr="005F1CDC">
        <w:rPr>
          <w:rFonts w:ascii="Baskerville" w:hAnsi="Baskerville"/>
          <w:sz w:val="24"/>
          <w:szCs w:val="24"/>
        </w:rPr>
        <w:t>¿Qué son y que importancia posee la analogía en el sistema jurídico nacional?</w:t>
      </w:r>
    </w:p>
    <w:p w:rsidR="00895127" w:rsidRPr="005F1CDC" w:rsidRDefault="00895127" w:rsidP="00613C1E">
      <w:pPr>
        <w:ind w:left="360"/>
        <w:jc w:val="both"/>
        <w:rPr>
          <w:rFonts w:ascii="Baskerville" w:hAnsi="Baskerville"/>
          <w:sz w:val="24"/>
          <w:szCs w:val="24"/>
        </w:rPr>
      </w:pPr>
      <w:r w:rsidRPr="005F1CDC">
        <w:rPr>
          <w:rFonts w:ascii="Baskerville" w:hAnsi="Baskerville" w:cstheme="minorHAnsi"/>
          <w:b/>
          <w:sz w:val="24"/>
          <w:szCs w:val="24"/>
        </w:rPr>
        <w:t>Módulo 4:</w:t>
      </w:r>
    </w:p>
    <w:p w:rsidR="00852CCE" w:rsidRPr="005F1CDC" w:rsidRDefault="00E073F1" w:rsidP="00663017">
      <w:pPr>
        <w:ind w:firstLine="360"/>
        <w:jc w:val="both"/>
        <w:rPr>
          <w:rFonts w:ascii="Baskerville" w:hAnsi="Baskerville"/>
          <w:sz w:val="24"/>
          <w:szCs w:val="24"/>
        </w:rPr>
      </w:pPr>
      <w:r w:rsidRPr="005F1CDC">
        <w:rPr>
          <w:rFonts w:ascii="Baskerville" w:hAnsi="Baskerville"/>
          <w:sz w:val="24"/>
          <w:szCs w:val="24"/>
        </w:rPr>
        <w:t xml:space="preserve">4.- </w:t>
      </w:r>
      <w:r w:rsidR="00663017" w:rsidRPr="005F1CDC">
        <w:rPr>
          <w:rFonts w:ascii="Baskerville" w:hAnsi="Baskerville"/>
          <w:sz w:val="24"/>
          <w:szCs w:val="24"/>
        </w:rPr>
        <w:t>¿Qu</w:t>
      </w:r>
      <w:r w:rsidR="00316A1B" w:rsidRPr="005F1CDC">
        <w:rPr>
          <w:rFonts w:ascii="Baskerville" w:hAnsi="Baskerville"/>
          <w:sz w:val="24"/>
          <w:szCs w:val="24"/>
        </w:rPr>
        <w:t>é</w:t>
      </w:r>
      <w:r w:rsidR="00663017" w:rsidRPr="005F1CDC">
        <w:rPr>
          <w:rFonts w:ascii="Baskerville" w:hAnsi="Baskerville"/>
          <w:sz w:val="24"/>
          <w:szCs w:val="24"/>
        </w:rPr>
        <w:t xml:space="preserve"> caracteres debe poseer una norma jurídica para considerarse como tal?. </w:t>
      </w:r>
      <w:r w:rsidR="00CA54C5" w:rsidRPr="005F1CDC">
        <w:rPr>
          <w:rFonts w:ascii="Baskerville" w:hAnsi="Baskerville"/>
          <w:sz w:val="24"/>
          <w:szCs w:val="24"/>
        </w:rPr>
        <w:t>Enúncielas y d</w:t>
      </w:r>
      <w:r w:rsidR="00663017" w:rsidRPr="005F1CDC">
        <w:rPr>
          <w:rFonts w:ascii="Baskerville" w:hAnsi="Baskerville"/>
          <w:sz w:val="24"/>
          <w:szCs w:val="24"/>
        </w:rPr>
        <w:t>escríbalas someramente</w:t>
      </w:r>
    </w:p>
    <w:p w:rsidR="00E073F1" w:rsidRPr="005F1CDC" w:rsidRDefault="00E073F1" w:rsidP="00E073F1">
      <w:pPr>
        <w:ind w:firstLine="360"/>
        <w:jc w:val="both"/>
        <w:rPr>
          <w:rFonts w:ascii="Baskerville" w:hAnsi="Baskerville"/>
          <w:sz w:val="24"/>
          <w:szCs w:val="24"/>
        </w:rPr>
      </w:pPr>
      <w:r w:rsidRPr="005F1CDC">
        <w:rPr>
          <w:rFonts w:ascii="Baskerville" w:hAnsi="Baskerville" w:cstheme="minorHAnsi"/>
          <w:b/>
          <w:sz w:val="24"/>
          <w:szCs w:val="24"/>
        </w:rPr>
        <w:t>Módulo 5:</w:t>
      </w:r>
    </w:p>
    <w:p w:rsidR="009A794B" w:rsidRPr="005F1CDC" w:rsidRDefault="00E073F1" w:rsidP="00E073F1">
      <w:pPr>
        <w:ind w:firstLine="360"/>
        <w:jc w:val="both"/>
        <w:rPr>
          <w:rFonts w:ascii="Baskerville" w:hAnsi="Baskerville"/>
          <w:sz w:val="24"/>
          <w:szCs w:val="24"/>
        </w:rPr>
      </w:pPr>
      <w:r w:rsidRPr="005F1CDC">
        <w:rPr>
          <w:rFonts w:ascii="Baskerville" w:hAnsi="Baskerville"/>
          <w:sz w:val="24"/>
          <w:szCs w:val="24"/>
        </w:rPr>
        <w:t xml:space="preserve">5.- </w:t>
      </w:r>
      <w:r w:rsidR="007E042F" w:rsidRPr="005F1CDC">
        <w:rPr>
          <w:rFonts w:ascii="Baskerville" w:hAnsi="Baskerville"/>
          <w:sz w:val="24"/>
          <w:szCs w:val="24"/>
        </w:rPr>
        <w:t>Describa someramente el sistema de los recursos administrativos establecidos en el artículo 309 y ss de la Constitución y el decreto 500/991.</w:t>
      </w:r>
    </w:p>
    <w:p w:rsidR="00E073F1" w:rsidRPr="005F1CDC" w:rsidRDefault="00E073F1" w:rsidP="00E073F1">
      <w:pPr>
        <w:ind w:firstLine="360"/>
        <w:jc w:val="both"/>
        <w:rPr>
          <w:rFonts w:ascii="Baskerville" w:hAnsi="Baskerville"/>
          <w:sz w:val="24"/>
          <w:szCs w:val="24"/>
        </w:rPr>
      </w:pPr>
      <w:r w:rsidRPr="005F1CDC">
        <w:rPr>
          <w:rFonts w:ascii="Baskerville" w:hAnsi="Baskerville" w:cstheme="minorHAnsi"/>
          <w:b/>
          <w:sz w:val="24"/>
          <w:szCs w:val="24"/>
        </w:rPr>
        <w:t>Módulo 6:</w:t>
      </w:r>
    </w:p>
    <w:p w:rsidR="0089415D" w:rsidRPr="005F1CDC" w:rsidRDefault="00E073F1" w:rsidP="00E073F1">
      <w:pPr>
        <w:ind w:firstLine="360"/>
        <w:jc w:val="both"/>
        <w:rPr>
          <w:rFonts w:ascii="Baskerville" w:hAnsi="Baskerville"/>
          <w:sz w:val="24"/>
          <w:szCs w:val="24"/>
        </w:rPr>
      </w:pPr>
      <w:r w:rsidRPr="005F1CDC">
        <w:rPr>
          <w:rFonts w:ascii="Baskerville" w:hAnsi="Baskerville"/>
          <w:sz w:val="24"/>
          <w:szCs w:val="24"/>
        </w:rPr>
        <w:t>6.- ¿</w:t>
      </w:r>
      <w:r w:rsidR="00321677" w:rsidRPr="005F1CDC">
        <w:rPr>
          <w:rFonts w:ascii="Baskerville" w:hAnsi="Baskerville"/>
          <w:sz w:val="24"/>
          <w:szCs w:val="24"/>
        </w:rPr>
        <w:t>Cuáles son los actos pasibles de declaración de inconstitucionalidad y cuál es el organo del Estado competente para dictaminar la misma</w:t>
      </w:r>
      <w:r w:rsidRPr="005F1CDC">
        <w:rPr>
          <w:rFonts w:ascii="Baskerville" w:hAnsi="Baskerville"/>
          <w:sz w:val="24"/>
          <w:szCs w:val="24"/>
        </w:rPr>
        <w:t>?</w:t>
      </w:r>
    </w:p>
    <w:sectPr w:rsidR="0089415D" w:rsidRPr="005F1C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2"/>
      <w:numFmt w:val="decimal"/>
      <w:lvlText w:val="%1."/>
      <w:lvlJc w:val="left"/>
      <w:pPr>
        <w:tabs>
          <w:tab w:val="num" w:pos="705"/>
        </w:tabs>
        <w:ind w:left="705" w:hanging="705"/>
      </w:pPr>
    </w:lvl>
  </w:abstractNum>
  <w:abstractNum w:abstractNumId="1" w15:restartNumberingAfterBreak="0">
    <w:nsid w:val="1A7703C9"/>
    <w:multiLevelType w:val="hybridMultilevel"/>
    <w:tmpl w:val="AE28E0CA"/>
    <w:lvl w:ilvl="0" w:tplc="02805596">
      <w:start w:val="1"/>
      <w:numFmt w:val="decimal"/>
      <w:lvlText w:val="%1."/>
      <w:lvlJc w:val="left"/>
      <w:pPr>
        <w:ind w:left="1065" w:hanging="705"/>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245C1A3E"/>
    <w:multiLevelType w:val="hybridMultilevel"/>
    <w:tmpl w:val="2A22A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478"/>
    <w:multiLevelType w:val="hybridMultilevel"/>
    <w:tmpl w:val="EF345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843ACF"/>
    <w:multiLevelType w:val="hybridMultilevel"/>
    <w:tmpl w:val="8F6C8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7D0C69"/>
    <w:multiLevelType w:val="hybridMultilevel"/>
    <w:tmpl w:val="6A3A968E"/>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FD"/>
    <w:rsid w:val="000376B3"/>
    <w:rsid w:val="00056571"/>
    <w:rsid w:val="000E5842"/>
    <w:rsid w:val="00132535"/>
    <w:rsid w:val="00316A1B"/>
    <w:rsid w:val="00321677"/>
    <w:rsid w:val="005C1BA8"/>
    <w:rsid w:val="005F1CDC"/>
    <w:rsid w:val="00613C1E"/>
    <w:rsid w:val="00663017"/>
    <w:rsid w:val="006F7BFD"/>
    <w:rsid w:val="007002ED"/>
    <w:rsid w:val="007E042F"/>
    <w:rsid w:val="00852CCE"/>
    <w:rsid w:val="0089415D"/>
    <w:rsid w:val="00895127"/>
    <w:rsid w:val="009A794B"/>
    <w:rsid w:val="009D3067"/>
    <w:rsid w:val="00A94435"/>
    <w:rsid w:val="00B31B03"/>
    <w:rsid w:val="00B64843"/>
    <w:rsid w:val="00CA54C5"/>
    <w:rsid w:val="00E073F1"/>
    <w:rsid w:val="00E70BF6"/>
    <w:rsid w:val="00F0616B"/>
    <w:rsid w:val="00F464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3449"/>
  <w15:docId w15:val="{1FB8D816-D8D4-5D47-AB65-E577C3C1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D"/>
    <w:pPr>
      <w:ind w:left="720"/>
      <w:contextualSpacing/>
    </w:pPr>
  </w:style>
  <w:style w:type="character" w:styleId="Hipervnculo">
    <w:name w:val="Hyperlink"/>
    <w:basedOn w:val="Fuentedeprrafopredeter"/>
    <w:uiPriority w:val="99"/>
    <w:unhideWhenUsed/>
    <w:rsid w:val="00F06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becerra@vera.com.u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 de Microsoft Office</cp:lastModifiedBy>
  <cp:revision>3</cp:revision>
  <dcterms:created xsi:type="dcterms:W3CDTF">2021-02-17T20:50:00Z</dcterms:created>
  <dcterms:modified xsi:type="dcterms:W3CDTF">2021-02-17T20:56:00Z</dcterms:modified>
</cp:coreProperties>
</file>