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57A" w:rsidRDefault="0099657A" w:rsidP="003B2A03">
      <w:pPr>
        <w:ind w:firstLine="708"/>
        <w:jc w:val="both"/>
        <w:rPr>
          <w:rFonts w:ascii="Georgia" w:hAnsi="Georgia"/>
          <w:sz w:val="22"/>
          <w:szCs w:val="22"/>
        </w:rPr>
      </w:pPr>
    </w:p>
    <w:p w:rsidR="000151C5" w:rsidRPr="00260F30" w:rsidRDefault="002D5E06" w:rsidP="000151C5">
      <w:pPr>
        <w:pStyle w:val="Textoindependiente"/>
        <w:rPr>
          <w:rFonts w:ascii="Times New Roman" w:hAnsi="Times New Roman"/>
          <w:b/>
          <w:bCs/>
          <w:sz w:val="22"/>
          <w:szCs w:val="22"/>
        </w:rPr>
      </w:pPr>
      <w:r w:rsidRPr="00260F30">
        <w:rPr>
          <w:rFonts w:ascii="Times New Roman" w:hAnsi="Times New Roman"/>
          <w:b/>
          <w:bCs/>
          <w:sz w:val="22"/>
          <w:szCs w:val="22"/>
        </w:rPr>
        <w:t>PROBLEMA 1</w:t>
      </w:r>
    </w:p>
    <w:p w:rsidR="002E3F69" w:rsidRDefault="002E3F69" w:rsidP="002E3F6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2E3F69" w:rsidRDefault="002E3F69" w:rsidP="002E3F6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</w:rPr>
        <w:t xml:space="preserve">El primer ejercicio es un eje que consta de dos partes, una de 0,5 metros compuesto de dos materiales de 0,05 y 0,045 de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diametro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exterior e interior, el material interior es el material "a" y tiene un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modulo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de elasticidad al corte de 150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Gpa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el material "b" tiene G=70Gpa. Luego hay una segunda parte del eje  (soldado al eje compuesto) de 1 m que tiene 0,048 m de diámetro también con un G de 150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Gpa</w:t>
      </w:r>
      <w:proofErr w:type="spellEnd"/>
      <w:r>
        <w:rPr>
          <w:rFonts w:ascii="Arial" w:hAnsi="Arial" w:cs="Arial"/>
          <w:color w:val="222222"/>
          <w:sz w:val="19"/>
          <w:szCs w:val="19"/>
        </w:rPr>
        <w:t>.</w:t>
      </w:r>
    </w:p>
    <w:p w:rsidR="002E3F69" w:rsidRDefault="002E3F69" w:rsidP="002E3F6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2E3F69" w:rsidRDefault="002E3F69" w:rsidP="002E3F6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El eje está empotrado en sus extremos y tiene aplicado un torque de 25000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Nm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justo en la sección donde cambia de un eje a otro, (en la sección donde están soldados)</w:t>
      </w:r>
    </w:p>
    <w:p w:rsidR="002E3F69" w:rsidRDefault="002E3F69" w:rsidP="002E3F6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2E3F69" w:rsidRDefault="002E3F69" w:rsidP="002E3F6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Se pide calcular las reacciones (T1 y T2), las tensiones en todos los materiales y el giro relativo entre un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exttremo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y la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interfase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de los materiales.</w:t>
      </w:r>
    </w:p>
    <w:p w:rsidR="00260F30" w:rsidRDefault="00260F30" w:rsidP="004566CB">
      <w:pPr>
        <w:tabs>
          <w:tab w:val="left" w:pos="1478"/>
        </w:tabs>
        <w:rPr>
          <w:b/>
          <w:sz w:val="22"/>
          <w:szCs w:val="22"/>
        </w:rPr>
      </w:pPr>
    </w:p>
    <w:p w:rsidR="002D5E06" w:rsidRPr="002D5E06" w:rsidRDefault="002D5E06" w:rsidP="004566CB">
      <w:pPr>
        <w:tabs>
          <w:tab w:val="left" w:pos="1478"/>
        </w:tabs>
        <w:rPr>
          <w:b/>
          <w:sz w:val="22"/>
          <w:szCs w:val="22"/>
        </w:rPr>
      </w:pPr>
      <w:r w:rsidRPr="002D5E06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ROBLEMA 2</w:t>
      </w:r>
    </w:p>
    <w:p w:rsidR="002D5E06" w:rsidRDefault="002D5E06" w:rsidP="002D5E06">
      <w:pPr>
        <w:tabs>
          <w:tab w:val="left" w:pos="1478"/>
        </w:tabs>
        <w:jc w:val="both"/>
        <w:rPr>
          <w:rFonts w:ascii="Georgia" w:hAnsi="Georgia"/>
          <w:sz w:val="21"/>
          <w:szCs w:val="21"/>
        </w:rPr>
      </w:pPr>
      <w:r>
        <w:rPr>
          <w:sz w:val="22"/>
          <w:szCs w:val="22"/>
        </w:rPr>
        <w:t xml:space="preserve">Dado el elemento infinitesimal de esfuerzo </w:t>
      </w:r>
      <w:r w:rsidR="00C74CFA">
        <w:rPr>
          <w:sz w:val="22"/>
          <w:szCs w:val="22"/>
        </w:rPr>
        <w:t xml:space="preserve">plano </w:t>
      </w:r>
      <w:r>
        <w:rPr>
          <w:sz w:val="22"/>
          <w:szCs w:val="22"/>
        </w:rPr>
        <w:t xml:space="preserve">que se representa en la </w:t>
      </w:r>
      <w:r w:rsidRPr="001D6BBB">
        <w:rPr>
          <w:sz w:val="22"/>
          <w:szCs w:val="22"/>
        </w:rPr>
        <w:t>figura</w:t>
      </w:r>
      <w:r>
        <w:rPr>
          <w:sz w:val="22"/>
          <w:szCs w:val="22"/>
        </w:rPr>
        <w:t xml:space="preserve">, plantear el </w:t>
      </w:r>
      <w:r w:rsidR="001D6BBB">
        <w:rPr>
          <w:sz w:val="22"/>
          <w:szCs w:val="22"/>
        </w:rPr>
        <w:t>círculo</w:t>
      </w:r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mohr</w:t>
      </w:r>
      <w:proofErr w:type="spellEnd"/>
      <w:r>
        <w:rPr>
          <w:sz w:val="22"/>
          <w:szCs w:val="22"/>
        </w:rPr>
        <w:t xml:space="preserve"> determinando el cortante máximo, los esfuerzos principales y las direcciones principales. Se sabe que </w:t>
      </w:r>
      <w:r w:rsidRPr="00260F30">
        <w:rPr>
          <w:rFonts w:ascii="Symbol" w:hAnsi="Symbol"/>
          <w:b/>
          <w:sz w:val="21"/>
          <w:szCs w:val="21"/>
        </w:rPr>
        <w:t></w:t>
      </w:r>
      <w:r w:rsidRPr="00260F30">
        <w:rPr>
          <w:rFonts w:ascii="Georgia" w:hAnsi="Georgia"/>
          <w:b/>
          <w:sz w:val="21"/>
          <w:szCs w:val="21"/>
          <w:vertAlign w:val="subscript"/>
        </w:rPr>
        <w:t>3</w:t>
      </w:r>
      <w:r w:rsidRPr="00260F30">
        <w:rPr>
          <w:rFonts w:ascii="Georgia" w:hAnsi="Georgia"/>
          <w:b/>
          <w:sz w:val="21"/>
          <w:szCs w:val="21"/>
        </w:rPr>
        <w:t>=0</w:t>
      </w:r>
      <w:r>
        <w:rPr>
          <w:rFonts w:ascii="Georgia" w:hAnsi="Georgia"/>
          <w:sz w:val="21"/>
          <w:szCs w:val="21"/>
        </w:rPr>
        <w:t>.</w:t>
      </w:r>
      <w:r w:rsidR="00C74CFA">
        <w:rPr>
          <w:rFonts w:ascii="Georgia" w:hAnsi="Georgia"/>
          <w:sz w:val="21"/>
          <w:szCs w:val="21"/>
        </w:rPr>
        <w:t xml:space="preserve"> </w:t>
      </w:r>
    </w:p>
    <w:p w:rsidR="00C74CFA" w:rsidRDefault="00C74CFA" w:rsidP="002D5E06">
      <w:pPr>
        <w:tabs>
          <w:tab w:val="left" w:pos="1478"/>
        </w:tabs>
        <w:jc w:val="both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Suponiendo que se trata de un material frágil de </w:t>
      </w:r>
      <w:proofErr w:type="spellStart"/>
      <w:r>
        <w:rPr>
          <w:rFonts w:ascii="Georgia" w:hAnsi="Georgia"/>
          <w:sz w:val="21"/>
          <w:szCs w:val="21"/>
        </w:rPr>
        <w:t>Sut</w:t>
      </w:r>
      <w:proofErr w:type="spellEnd"/>
      <w:r>
        <w:rPr>
          <w:rFonts w:ascii="Georgia" w:hAnsi="Georgia"/>
          <w:sz w:val="21"/>
          <w:szCs w:val="21"/>
        </w:rPr>
        <w:t>=</w:t>
      </w:r>
      <w:proofErr w:type="spellStart"/>
      <w:r>
        <w:rPr>
          <w:rFonts w:ascii="Georgia" w:hAnsi="Georgia"/>
          <w:sz w:val="21"/>
          <w:szCs w:val="21"/>
        </w:rPr>
        <w:t>Suc</w:t>
      </w:r>
      <w:proofErr w:type="spellEnd"/>
      <w:r>
        <w:rPr>
          <w:rFonts w:ascii="Georgia" w:hAnsi="Georgia"/>
          <w:sz w:val="21"/>
          <w:szCs w:val="21"/>
        </w:rPr>
        <w:t>=450Mpa, calcular el factor de seguridad con un criterio de falla conocido.</w:t>
      </w:r>
    </w:p>
    <w:p w:rsidR="002D5E06" w:rsidRDefault="002D5E06" w:rsidP="002D5E06">
      <w:pPr>
        <w:tabs>
          <w:tab w:val="left" w:pos="1478"/>
        </w:tabs>
        <w:jc w:val="both"/>
        <w:rPr>
          <w:rFonts w:ascii="Georgia" w:hAnsi="Georgia"/>
          <w:sz w:val="21"/>
          <w:szCs w:val="21"/>
        </w:rPr>
      </w:pPr>
    </w:p>
    <w:p w:rsidR="00122E42" w:rsidRPr="00122E42" w:rsidRDefault="00DE3099" w:rsidP="00122E42">
      <w:pPr>
        <w:rPr>
          <w:sz w:val="22"/>
          <w:szCs w:val="22"/>
        </w:rPr>
      </w:pPr>
      <w:r>
        <w:rPr>
          <w:noProof/>
          <w:sz w:val="22"/>
          <w:szCs w:val="22"/>
          <w:lang w:val="es-UY" w:eastAsia="es-UY"/>
        </w:rPr>
        <mc:AlternateContent>
          <mc:Choice Requires="wpg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2707640</wp:posOffset>
                </wp:positionH>
                <wp:positionV relativeFrom="paragraph">
                  <wp:posOffset>66040</wp:posOffset>
                </wp:positionV>
                <wp:extent cx="1195705" cy="938530"/>
                <wp:effectExtent l="7620" t="0" r="0" b="23495"/>
                <wp:wrapNone/>
                <wp:docPr id="2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5705" cy="938530"/>
                          <a:chOff x="2097" y="14123"/>
                          <a:chExt cx="1883" cy="1478"/>
                        </a:xfrm>
                      </wpg:grpSpPr>
                      <wps:wsp>
                        <wps:cNvPr id="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097" y="14818"/>
                            <a:ext cx="783" cy="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3018" y="14818"/>
                            <a:ext cx="0" cy="7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15"/>
                        <wps:cNvCnPr>
                          <a:cxnSpLocks noChangeShapeType="1"/>
                        </wps:cNvCnPr>
                        <wps:spPr bwMode="auto">
                          <a:xfrm>
                            <a:off x="3103" y="15184"/>
                            <a:ext cx="44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502" y="14376"/>
                            <a:ext cx="0" cy="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2395" y="14123"/>
                            <a:ext cx="877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E42" w:rsidRDefault="00122E42" w:rsidP="00122E42">
                              <w:r>
                                <w:t xml:space="preserve">  </w:t>
                              </w:r>
                              <w:r w:rsidR="001D6BBB">
                                <w:t>220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3103" y="14565"/>
                            <a:ext cx="877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E42" w:rsidRDefault="00122E42" w:rsidP="00122E42">
                              <w:r>
                                <w:t xml:space="preserve">  </w:t>
                              </w:r>
                              <w:r w:rsidR="001D6BBB">
                                <w:t>270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15184"/>
                            <a:ext cx="877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E42" w:rsidRDefault="00122E42" w:rsidP="00122E42">
                              <w:r>
                                <w:t xml:space="preserve">  </w:t>
                              </w:r>
                              <w:r w:rsidR="001D6BBB">
                                <w:t>50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213.2pt;margin-top:5.2pt;width:94.15pt;height:73.9pt;z-index:251742720" coordorigin="2097,14123" coordsize="1883,1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">
                <v:rect id="Rectangle 113" o:spid="_x0000_s1027" style="position:absolute;left:2097;top:14818;width:783;height: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4" o:spid="_x0000_s1028" type="#_x0000_t32" style="position:absolute;left:3018;top:14818;width:0;height:7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    <v:stroke endarrow="block"/>
                </v:shape>
                <v:shape id="AutoShape 115" o:spid="_x0000_s1029" type="#_x0000_t32" style="position:absolute;left:3103;top:15184;width:4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<v:stroke endarrow="block"/>
                </v:shape>
                <v:shape id="AutoShape 116" o:spid="_x0000_s1030" type="#_x0000_t32" style="position:absolute;left:2502;top:14376;width:0;height:3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EgicAAAADaAAAADwAAAGRycy9kb3ducmV2LnhtbESPT4vCMBTE78J+h/AWvGnqgiLVKCos&#10;iJfFP7B7fDTPNti8lCY29dtvBMHjMDO/YZbr3taio9Ybxwom4wwEceG04VLB5fw9moPwAVlj7ZgU&#10;PMjDevUxWGKuXeQjdadQigRhn6OCKoQml9IXFVn0Y9cQJ+/qWoshybaUusWY4LaWX1k2kxYNp4UK&#10;G9pVVNxOd6vAxB/TNftd3B5+/7yOZB5TZ5QafvabBYhAfXiHX+29VjCD55V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xIInAAAAA2gAAAA8AAAAAAAAAAAAAAAAA&#10;oQIAAGRycy9kb3ducmV2LnhtbFBLBQYAAAAABAAEAPkAAACOAwAAAAA=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7" o:spid="_x0000_s1031" type="#_x0000_t202" style="position:absolute;left:2395;top:14123;width:877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122E42" w:rsidRDefault="00122E42" w:rsidP="00122E42">
                        <w:r>
                          <w:t xml:space="preserve">  </w:t>
                        </w:r>
                        <w:r w:rsidR="001D6BBB">
                          <w:t>220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118" o:spid="_x0000_s1032" type="#_x0000_t202" style="position:absolute;left:3103;top:14565;width:877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122E42" w:rsidRDefault="00122E42" w:rsidP="00122E42">
                        <w:r>
                          <w:t xml:space="preserve">  </w:t>
                        </w:r>
                        <w:r w:rsidR="001D6BBB">
                          <w:t>270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119" o:spid="_x0000_s1033" type="#_x0000_t202" style="position:absolute;left:2880;top:15184;width:877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122E42" w:rsidRDefault="00122E42" w:rsidP="00122E42">
                        <w:r>
                          <w:t xml:space="preserve">  </w:t>
                        </w:r>
                        <w:r w:rsidR="001D6BBB">
                          <w:t>50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22E42" w:rsidRPr="00122E42" w:rsidRDefault="00122E42" w:rsidP="00122E42">
      <w:pPr>
        <w:rPr>
          <w:sz w:val="22"/>
          <w:szCs w:val="22"/>
        </w:rPr>
      </w:pPr>
    </w:p>
    <w:p w:rsidR="00122E42" w:rsidRPr="00122E42" w:rsidRDefault="00122E42" w:rsidP="00122E42">
      <w:pPr>
        <w:rPr>
          <w:sz w:val="22"/>
          <w:szCs w:val="22"/>
        </w:rPr>
      </w:pPr>
    </w:p>
    <w:p w:rsidR="00122E42" w:rsidRPr="00122E42" w:rsidRDefault="00122E42" w:rsidP="00122E42">
      <w:pPr>
        <w:tabs>
          <w:tab w:val="left" w:pos="6619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122E42" w:rsidRPr="00122E42" w:rsidRDefault="00122E42" w:rsidP="00122E42">
      <w:pPr>
        <w:rPr>
          <w:sz w:val="22"/>
          <w:szCs w:val="22"/>
        </w:rPr>
      </w:pPr>
    </w:p>
    <w:p w:rsidR="00122E42" w:rsidRDefault="00122E42" w:rsidP="00122E42">
      <w:pPr>
        <w:rPr>
          <w:sz w:val="22"/>
          <w:szCs w:val="22"/>
        </w:rPr>
      </w:pPr>
    </w:p>
    <w:p w:rsidR="001D6BBB" w:rsidRDefault="00122E42" w:rsidP="00122E42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122E42" w:rsidRPr="00122E42" w:rsidRDefault="00122E42" w:rsidP="001D6BBB">
      <w:pPr>
        <w:jc w:val="center"/>
        <w:rPr>
          <w:i/>
          <w:sz w:val="22"/>
          <w:szCs w:val="22"/>
        </w:rPr>
      </w:pPr>
      <w:r w:rsidRPr="00122E42">
        <w:rPr>
          <w:i/>
          <w:sz w:val="22"/>
          <w:szCs w:val="22"/>
        </w:rPr>
        <w:t xml:space="preserve">Unidades en </w:t>
      </w:r>
      <w:proofErr w:type="spellStart"/>
      <w:r w:rsidRPr="00122E42">
        <w:rPr>
          <w:i/>
          <w:sz w:val="22"/>
          <w:szCs w:val="22"/>
        </w:rPr>
        <w:t>MPa</w:t>
      </w:r>
      <w:proofErr w:type="spellEnd"/>
    </w:p>
    <w:p w:rsidR="00122E42" w:rsidRDefault="00122E42" w:rsidP="00122E42">
      <w:pPr>
        <w:ind w:firstLine="708"/>
        <w:rPr>
          <w:b/>
          <w:sz w:val="22"/>
          <w:szCs w:val="22"/>
        </w:rPr>
      </w:pPr>
    </w:p>
    <w:p w:rsidR="001D6BBB" w:rsidRDefault="001D6BBB" w:rsidP="001D6BBB">
      <w:pPr>
        <w:tabs>
          <w:tab w:val="left" w:pos="1478"/>
        </w:tabs>
        <w:rPr>
          <w:b/>
          <w:sz w:val="22"/>
          <w:szCs w:val="22"/>
        </w:rPr>
      </w:pPr>
      <w:r w:rsidRPr="002D5E06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ROBLEMA 3</w:t>
      </w:r>
    </w:p>
    <w:p w:rsidR="001D6BBB" w:rsidRDefault="001D6BBB" w:rsidP="001D6BBB">
      <w:pPr>
        <w:tabs>
          <w:tab w:val="left" w:pos="1478"/>
        </w:tabs>
        <w:rPr>
          <w:sz w:val="22"/>
          <w:szCs w:val="22"/>
        </w:rPr>
      </w:pPr>
      <w:r>
        <w:rPr>
          <w:sz w:val="22"/>
          <w:szCs w:val="22"/>
        </w:rPr>
        <w:t xml:space="preserve">Dado un recipiente a presión con cuerpo cilíndrico y casquetes esféricos en los extremos, con una presión manométrica de 30 </w:t>
      </w:r>
      <w:proofErr w:type="spellStart"/>
      <w:r>
        <w:rPr>
          <w:sz w:val="22"/>
          <w:szCs w:val="22"/>
        </w:rPr>
        <w:t>Mpa</w:t>
      </w:r>
      <w:proofErr w:type="spellEnd"/>
      <w:r>
        <w:rPr>
          <w:sz w:val="22"/>
          <w:szCs w:val="22"/>
        </w:rPr>
        <w:t xml:space="preserve">, determinar el factor de seguridad de acuerdo al criterio de </w:t>
      </w:r>
      <w:proofErr w:type="spellStart"/>
      <w:r>
        <w:rPr>
          <w:sz w:val="22"/>
          <w:szCs w:val="22"/>
        </w:rPr>
        <w:t>Tresca</w:t>
      </w:r>
      <w:proofErr w:type="spellEnd"/>
      <w:r>
        <w:rPr>
          <w:sz w:val="22"/>
          <w:szCs w:val="22"/>
        </w:rPr>
        <w:t xml:space="preserve"> suponiendo su fabricación de un material dúctil de 200Mpa de tensión de fluencia. Comprar cualitativamente el factor de seguridad hallado con el del criterio de Von </w:t>
      </w:r>
      <w:proofErr w:type="spellStart"/>
      <w:r>
        <w:rPr>
          <w:sz w:val="22"/>
          <w:szCs w:val="22"/>
        </w:rPr>
        <w:t>Misses</w:t>
      </w:r>
      <w:proofErr w:type="spellEnd"/>
      <w:r>
        <w:rPr>
          <w:sz w:val="22"/>
          <w:szCs w:val="22"/>
        </w:rPr>
        <w:t xml:space="preserve">. </w:t>
      </w:r>
    </w:p>
    <w:p w:rsidR="001D6BBB" w:rsidRPr="00C74CFA" w:rsidRDefault="001D6BBB" w:rsidP="001D6BBB">
      <w:pPr>
        <w:tabs>
          <w:tab w:val="left" w:pos="1478"/>
        </w:tabs>
        <w:rPr>
          <w:sz w:val="22"/>
          <w:szCs w:val="22"/>
        </w:rPr>
      </w:pPr>
      <w:r w:rsidRPr="00260F30">
        <w:rPr>
          <w:b/>
          <w:sz w:val="22"/>
          <w:szCs w:val="22"/>
        </w:rPr>
        <w:t xml:space="preserve">Datos; </w:t>
      </w:r>
      <w:r>
        <w:rPr>
          <w:b/>
          <w:sz w:val="22"/>
          <w:szCs w:val="22"/>
        </w:rPr>
        <w:t>espesor de pared</w:t>
      </w:r>
      <w:r w:rsidRPr="00260F30">
        <w:rPr>
          <w:b/>
          <w:sz w:val="22"/>
          <w:szCs w:val="22"/>
        </w:rPr>
        <w:t xml:space="preserve"> = </w:t>
      </w:r>
      <w:r>
        <w:rPr>
          <w:b/>
          <w:sz w:val="22"/>
          <w:szCs w:val="22"/>
        </w:rPr>
        <w:t xml:space="preserve">8mm </w:t>
      </w:r>
      <w:r w:rsidRPr="00260F30">
        <w:rPr>
          <w:b/>
          <w:sz w:val="22"/>
          <w:szCs w:val="22"/>
        </w:rPr>
        <w:t xml:space="preserve">E= 200 </w:t>
      </w:r>
      <w:proofErr w:type="spellStart"/>
      <w:r w:rsidRPr="00260F30">
        <w:rPr>
          <w:b/>
          <w:sz w:val="22"/>
          <w:szCs w:val="22"/>
        </w:rPr>
        <w:t>Gpa</w:t>
      </w:r>
      <w:proofErr w:type="spellEnd"/>
      <w:r w:rsidRPr="00260F30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D=1,2m</w:t>
      </w:r>
    </w:p>
    <w:p w:rsidR="002D5E06" w:rsidRPr="00122E42" w:rsidRDefault="002D5E06" w:rsidP="001D6BBB">
      <w:pPr>
        <w:rPr>
          <w:b/>
          <w:sz w:val="22"/>
          <w:szCs w:val="22"/>
        </w:rPr>
      </w:pPr>
    </w:p>
    <w:sectPr w:rsidR="002D5E06" w:rsidRPr="00122E42" w:rsidSect="00766DA2">
      <w:headerReference w:type="default" r:id="rId8"/>
      <w:type w:val="continuous"/>
      <w:pgSz w:w="11906" w:h="16838"/>
      <w:pgMar w:top="1243" w:right="1274" w:bottom="53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6A6" w:rsidRDefault="006356A6">
      <w:r>
        <w:separator/>
      </w:r>
    </w:p>
  </w:endnote>
  <w:endnote w:type="continuationSeparator" w:id="0">
    <w:p w:rsidR="006356A6" w:rsidRDefault="0063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6A6" w:rsidRDefault="006356A6">
      <w:r>
        <w:separator/>
      </w:r>
    </w:p>
  </w:footnote>
  <w:footnote w:type="continuationSeparator" w:id="0">
    <w:p w:rsidR="006356A6" w:rsidRDefault="00635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099" w:rsidRDefault="00DE3099" w:rsidP="00DE3099">
    <w:pPr>
      <w:pStyle w:val="Encabezado"/>
      <w:jc w:val="center"/>
      <w:rPr>
        <w:rFonts w:ascii="Arial" w:hAnsi="Arial" w:cs="Arial"/>
        <w:b/>
        <w:bCs/>
        <w:lang w:val="es-ES_tradnl"/>
      </w:rPr>
    </w:pPr>
    <w:r>
      <w:rPr>
        <w:rFonts w:ascii="Arial" w:hAnsi="Arial" w:cs="Arial"/>
        <w:b/>
        <w:bCs/>
        <w:lang w:val="es-ES_tradnl"/>
      </w:rPr>
      <w:t>MD3 - COMPORTAMIENTO MECANICO DE MATERIALES</w:t>
    </w:r>
  </w:p>
  <w:p w:rsidR="00DE3099" w:rsidRDefault="00DE3099" w:rsidP="00DE3099">
    <w:pPr>
      <w:pStyle w:val="Encabezado"/>
      <w:jc w:val="center"/>
      <w:rPr>
        <w:rFonts w:ascii="Arial" w:hAnsi="Arial" w:cs="Arial"/>
        <w:b/>
        <w:bCs/>
        <w:lang w:val="es-ES_tradnl"/>
      </w:rPr>
    </w:pPr>
  </w:p>
  <w:p w:rsidR="00905455" w:rsidRDefault="00905455">
    <w:pPr>
      <w:pStyle w:val="Encabezado"/>
      <w:rPr>
        <w:rFonts w:ascii="Arial" w:hAnsi="Arial" w:cs="Arial"/>
        <w:b/>
        <w:bCs/>
        <w:vertAlign w:val="superscript"/>
        <w:lang w:val="es-ES_tradnl"/>
      </w:rPr>
    </w:pPr>
    <w:r>
      <w:rPr>
        <w:rFonts w:ascii="Arial" w:hAnsi="Arial" w:cs="Arial"/>
        <w:b/>
        <w:bCs/>
        <w:lang w:val="es-ES_tradnl"/>
      </w:rPr>
      <w:t>Curso 20</w:t>
    </w:r>
    <w:r w:rsidR="000476DA">
      <w:rPr>
        <w:rFonts w:ascii="Arial" w:hAnsi="Arial" w:cs="Arial"/>
        <w:b/>
        <w:bCs/>
        <w:lang w:val="es-ES_tradnl"/>
      </w:rPr>
      <w:t>1</w:t>
    </w:r>
    <w:r w:rsidR="00DE3099">
      <w:rPr>
        <w:rFonts w:ascii="Arial" w:hAnsi="Arial" w:cs="Arial"/>
        <w:b/>
        <w:bCs/>
        <w:lang w:val="es-ES_tradnl"/>
      </w:rPr>
      <w:t>5</w:t>
    </w:r>
    <w:r>
      <w:rPr>
        <w:rFonts w:ascii="Arial" w:hAnsi="Arial" w:cs="Arial"/>
        <w:b/>
        <w:bCs/>
        <w:lang w:val="es-ES_tradnl"/>
      </w:rPr>
      <w:tab/>
    </w:r>
    <w:r>
      <w:rPr>
        <w:rFonts w:ascii="Arial" w:hAnsi="Arial" w:cs="Arial"/>
        <w:b/>
        <w:bCs/>
        <w:lang w:val="es-ES_tradnl"/>
      </w:rPr>
      <w:tab/>
    </w:r>
    <w:r w:rsidR="009B4F2C">
      <w:rPr>
        <w:rFonts w:ascii="Arial" w:hAnsi="Arial" w:cs="Arial"/>
        <w:b/>
        <w:bCs/>
        <w:lang w:val="es-ES_tradnl"/>
      </w:rPr>
      <w:t>Segundo</w:t>
    </w:r>
    <w:r>
      <w:rPr>
        <w:rFonts w:ascii="Arial" w:hAnsi="Arial" w:cs="Arial"/>
        <w:b/>
        <w:bCs/>
        <w:lang w:val="es-ES_tradnl"/>
      </w:rPr>
      <w:t xml:space="preserve"> Parcial </w:t>
    </w:r>
    <w:r w:rsidR="00766DA2">
      <w:rPr>
        <w:rFonts w:ascii="Arial" w:hAnsi="Arial" w:cs="Arial"/>
        <w:b/>
        <w:bCs/>
        <w:lang w:val="es-ES_tradnl"/>
      </w:rPr>
      <w:t>0</w:t>
    </w:r>
    <w:r w:rsidR="00DE3099">
      <w:rPr>
        <w:rFonts w:ascii="Arial" w:hAnsi="Arial" w:cs="Arial"/>
        <w:b/>
        <w:bCs/>
        <w:lang w:val="es-ES_tradnl"/>
      </w:rPr>
      <w:t>9</w:t>
    </w:r>
    <w:r>
      <w:rPr>
        <w:rFonts w:ascii="Arial" w:hAnsi="Arial" w:cs="Arial"/>
        <w:b/>
        <w:bCs/>
        <w:lang w:val="es-ES_tradnl"/>
      </w:rPr>
      <w:t>/0</w:t>
    </w:r>
    <w:r w:rsidR="00766DA2">
      <w:rPr>
        <w:rFonts w:ascii="Arial" w:hAnsi="Arial" w:cs="Arial"/>
        <w:b/>
        <w:bCs/>
        <w:lang w:val="es-ES_tradnl"/>
      </w:rPr>
      <w:t>7</w:t>
    </w:r>
    <w:r>
      <w:rPr>
        <w:rFonts w:ascii="Arial" w:hAnsi="Arial" w:cs="Arial"/>
        <w:b/>
        <w:bCs/>
        <w:lang w:val="es-ES_tradnl"/>
      </w:rPr>
      <w:t>/20</w:t>
    </w:r>
    <w:r w:rsidR="000476DA">
      <w:rPr>
        <w:rFonts w:ascii="Arial" w:hAnsi="Arial" w:cs="Arial"/>
        <w:b/>
        <w:bCs/>
        <w:lang w:val="es-ES_tradnl"/>
      </w:rPr>
      <w:t>1</w:t>
    </w:r>
    <w:r w:rsidR="00DE3099">
      <w:rPr>
        <w:rFonts w:ascii="Arial" w:hAnsi="Arial" w:cs="Arial"/>
        <w:b/>
        <w:bCs/>
        <w:lang w:val="es-ES_tradnl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C3C1E"/>
    <w:multiLevelType w:val="hybridMultilevel"/>
    <w:tmpl w:val="3D649924"/>
    <w:lvl w:ilvl="0" w:tplc="05A6EC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7B3339"/>
    <w:multiLevelType w:val="hybridMultilevel"/>
    <w:tmpl w:val="1E82AE62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C7416"/>
    <w:multiLevelType w:val="hybridMultilevel"/>
    <w:tmpl w:val="87962BE0"/>
    <w:lvl w:ilvl="0" w:tplc="2FE034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A05540"/>
    <w:multiLevelType w:val="hybridMultilevel"/>
    <w:tmpl w:val="BA0878E2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C6518"/>
    <w:multiLevelType w:val="hybridMultilevel"/>
    <w:tmpl w:val="BA0878E2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618D7"/>
    <w:multiLevelType w:val="hybridMultilevel"/>
    <w:tmpl w:val="BA0878E2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F7"/>
    <w:rsid w:val="00002492"/>
    <w:rsid w:val="000151C5"/>
    <w:rsid w:val="000476DA"/>
    <w:rsid w:val="00050CF5"/>
    <w:rsid w:val="00054B70"/>
    <w:rsid w:val="000B126A"/>
    <w:rsid w:val="000C521A"/>
    <w:rsid w:val="0012093C"/>
    <w:rsid w:val="00122E42"/>
    <w:rsid w:val="00145235"/>
    <w:rsid w:val="00164111"/>
    <w:rsid w:val="001753F7"/>
    <w:rsid w:val="0018019D"/>
    <w:rsid w:val="0018647E"/>
    <w:rsid w:val="00186D58"/>
    <w:rsid w:val="001B0E51"/>
    <w:rsid w:val="001D6BBB"/>
    <w:rsid w:val="001E5A90"/>
    <w:rsid w:val="001F64D3"/>
    <w:rsid w:val="0025043F"/>
    <w:rsid w:val="00252A6A"/>
    <w:rsid w:val="00260F30"/>
    <w:rsid w:val="002737A7"/>
    <w:rsid w:val="002744B2"/>
    <w:rsid w:val="002B4FA2"/>
    <w:rsid w:val="002D5E06"/>
    <w:rsid w:val="002E3F69"/>
    <w:rsid w:val="003166FE"/>
    <w:rsid w:val="00324FC4"/>
    <w:rsid w:val="00370481"/>
    <w:rsid w:val="003B2A03"/>
    <w:rsid w:val="003B5063"/>
    <w:rsid w:val="00425910"/>
    <w:rsid w:val="00456657"/>
    <w:rsid w:val="004566CB"/>
    <w:rsid w:val="00457777"/>
    <w:rsid w:val="00463EE4"/>
    <w:rsid w:val="004A05ED"/>
    <w:rsid w:val="004A1734"/>
    <w:rsid w:val="004F3201"/>
    <w:rsid w:val="004F7C91"/>
    <w:rsid w:val="005156B0"/>
    <w:rsid w:val="0057321C"/>
    <w:rsid w:val="00582C43"/>
    <w:rsid w:val="005B1747"/>
    <w:rsid w:val="005C1FAB"/>
    <w:rsid w:val="005F70EA"/>
    <w:rsid w:val="00613E26"/>
    <w:rsid w:val="006356A6"/>
    <w:rsid w:val="00655379"/>
    <w:rsid w:val="00676177"/>
    <w:rsid w:val="006B3C11"/>
    <w:rsid w:val="006B7A5E"/>
    <w:rsid w:val="00731954"/>
    <w:rsid w:val="00766DA2"/>
    <w:rsid w:val="00771E8C"/>
    <w:rsid w:val="0077333D"/>
    <w:rsid w:val="00792A7F"/>
    <w:rsid w:val="007B3938"/>
    <w:rsid w:val="007C21DB"/>
    <w:rsid w:val="008041C1"/>
    <w:rsid w:val="008513A2"/>
    <w:rsid w:val="008665F7"/>
    <w:rsid w:val="008A429C"/>
    <w:rsid w:val="0090391A"/>
    <w:rsid w:val="00905455"/>
    <w:rsid w:val="00907B34"/>
    <w:rsid w:val="00932340"/>
    <w:rsid w:val="00966BCE"/>
    <w:rsid w:val="0099529C"/>
    <w:rsid w:val="0099657A"/>
    <w:rsid w:val="009B4F2C"/>
    <w:rsid w:val="009D5D65"/>
    <w:rsid w:val="00A17A7F"/>
    <w:rsid w:val="00A300B8"/>
    <w:rsid w:val="00A4041C"/>
    <w:rsid w:val="00A637BC"/>
    <w:rsid w:val="00A74FBC"/>
    <w:rsid w:val="00A93716"/>
    <w:rsid w:val="00AA438E"/>
    <w:rsid w:val="00AD31EF"/>
    <w:rsid w:val="00AE433B"/>
    <w:rsid w:val="00B31D7A"/>
    <w:rsid w:val="00B75746"/>
    <w:rsid w:val="00BA3E37"/>
    <w:rsid w:val="00BC6DD7"/>
    <w:rsid w:val="00C1508E"/>
    <w:rsid w:val="00C65F17"/>
    <w:rsid w:val="00C74CFA"/>
    <w:rsid w:val="00C86B88"/>
    <w:rsid w:val="00CF7CA7"/>
    <w:rsid w:val="00D02F8D"/>
    <w:rsid w:val="00D21325"/>
    <w:rsid w:val="00D94127"/>
    <w:rsid w:val="00DE3099"/>
    <w:rsid w:val="00DF61BE"/>
    <w:rsid w:val="00EC5F4D"/>
    <w:rsid w:val="00EE692F"/>
    <w:rsid w:val="00F26B34"/>
    <w:rsid w:val="00F4172B"/>
    <w:rsid w:val="00F7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C9F836-5945-4C10-842E-E6D75F9B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93C"/>
    <w:rPr>
      <w:sz w:val="24"/>
      <w:szCs w:val="24"/>
    </w:rPr>
  </w:style>
  <w:style w:type="paragraph" w:styleId="Ttulo1">
    <w:name w:val="heading 1"/>
    <w:basedOn w:val="Normal"/>
    <w:next w:val="Normal"/>
    <w:qFormat/>
    <w:rsid w:val="0012093C"/>
    <w:pPr>
      <w:keepNext/>
      <w:outlineLvl w:val="0"/>
    </w:pPr>
    <w:rPr>
      <w:rFonts w:ascii="Georgia" w:hAnsi="Georgia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2093C"/>
    <w:pPr>
      <w:jc w:val="both"/>
    </w:pPr>
    <w:rPr>
      <w:rFonts w:ascii="Georgia" w:hAnsi="Georgia"/>
      <w:sz w:val="28"/>
    </w:rPr>
  </w:style>
  <w:style w:type="paragraph" w:styleId="Encabezado">
    <w:name w:val="header"/>
    <w:basedOn w:val="Normal"/>
    <w:rsid w:val="0012093C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12093C"/>
    <w:pPr>
      <w:tabs>
        <w:tab w:val="center" w:pos="4153"/>
        <w:tab w:val="right" w:pos="8306"/>
      </w:tabs>
    </w:pPr>
  </w:style>
  <w:style w:type="paragraph" w:styleId="Textodeglobo">
    <w:name w:val="Balloon Text"/>
    <w:basedOn w:val="Normal"/>
    <w:semiHidden/>
    <w:rsid w:val="004F320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13E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UY" w:eastAsia="en-US"/>
    </w:rPr>
  </w:style>
  <w:style w:type="paragraph" w:styleId="Mapadeldocumento">
    <w:name w:val="Document Map"/>
    <w:basedOn w:val="Normal"/>
    <w:link w:val="MapadeldocumentoCar"/>
    <w:rsid w:val="00164111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164111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2B4F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3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878BE-221B-4498-B6C0-638EFE13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ANCAP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okraus</dc:creator>
  <cp:lastModifiedBy>Ezequiel Delevan</cp:lastModifiedBy>
  <cp:revision>3</cp:revision>
  <cp:lastPrinted>2014-07-08T03:17:00Z</cp:lastPrinted>
  <dcterms:created xsi:type="dcterms:W3CDTF">2015-07-09T02:46:00Z</dcterms:created>
  <dcterms:modified xsi:type="dcterms:W3CDTF">2016-06-27T14:01:00Z</dcterms:modified>
</cp:coreProperties>
</file>