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44444"/>
          <w:sz w:val="38"/>
          <w:szCs w:val="38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36"/>
          <w:szCs w:val="36"/>
          <w:lang w:eastAsia="es-UY"/>
        </w:rPr>
        <w:t xml:space="preserve">1.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36"/>
          <w:szCs w:val="36"/>
          <w:lang w:eastAsia="es-UY"/>
        </w:rPr>
        <w:t>Introduction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initial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planning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Radio Access Network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begins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Radio Link Budget. As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name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suggests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a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simply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accounting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gains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from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transmitter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through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medium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(free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space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cable,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waveguide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fiber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etc.) 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receiver in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telecommunication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system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page,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briefly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discuss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calculations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LTE.</w:t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</w:pPr>
      <w:bookmarkStart w:id="0" w:name="TOC-2.-LTE-Radio-Link-Budgeting"/>
      <w:bookmarkEnd w:id="0"/>
      <w:r w:rsidRPr="000A4CA6"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  <w:t xml:space="preserve">2. LTE Radio Link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  <w:t>Budgeting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</w:pPr>
      <w:r w:rsidRPr="000A4CA6">
        <w:rPr>
          <w:rFonts w:ascii="Arial" w:eastAsia="Times New Roman" w:hAnsi="Arial" w:cs="Arial"/>
          <w:b/>
          <w:bCs/>
          <w:noProof/>
          <w:color w:val="0000FF"/>
          <w:sz w:val="32"/>
          <w:szCs w:val="32"/>
          <w:lang w:eastAsia="es-U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https://sites.google.com/site/lteencyclopedia/_/rsrc/1289774169230/cell-reselection-procedures-in-lte/Line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FFF43" id="Rectángulo 7" o:spid="_x0000_s1026" alt="https://sites.google.com/site/lteencyclopedia/_/rsrc/1289774169230/cell-reselection-procedures-in-lte/Line.bmp" href="https://sites.google.com/site/lteencyclopedia/cell-reselection-procedures-in-lte/Line.bmp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 xml:space="preserve">2.1.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>Typical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>Parameter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>Values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9"/>
          <w:szCs w:val="29"/>
          <w:lang w:eastAsia="es-UY"/>
        </w:rPr>
        <w:t> 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calculations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estimate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allowed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signal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attenuation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g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between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mobile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base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station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antenna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allows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range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be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estimated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suitable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propagation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.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range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gives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number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base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station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sites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required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 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cover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target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geographical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proofErr w:type="gram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area.The</w:t>
      </w:r>
      <w:proofErr w:type="spellEnd"/>
      <w:proofErr w:type="gram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following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typical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practical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parameter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values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used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doing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Radio Link Budget.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670"/>
        <w:gridCol w:w="1701"/>
      </w:tblGrid>
      <w:tr w:rsidR="000A4CA6" w:rsidRPr="000A4CA6" w:rsidTr="000A4CA6">
        <w:trPr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Parameter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Typical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Value</w:t>
            </w:r>
            <w:proofErr w:type="spellEnd"/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maximum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transmission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power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. A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typical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value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macro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cell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20-69 W at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connector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43 – 48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Manufacturer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Dependent</w:t>
            </w:r>
            <w:proofErr w:type="spellEnd"/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between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connector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and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value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length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, 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thickness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and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frequency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band.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Many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installations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today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use RF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heads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where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power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amplifiers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are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close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to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making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very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small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 – 6 dB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EIRP,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Calculated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as A + B -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UE RF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figure.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frequency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band.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Duplex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separation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and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allocated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bandwidth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6 – 11 dB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Terminal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can be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calculated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as:</w:t>
            </w:r>
          </w:p>
          <w:p w:rsidR="000A4CA6" w:rsidRPr="000A4CA6" w:rsidRDefault="000A4CA6" w:rsidP="000A4CA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“</w:t>
            </w:r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K (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Boltzmann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constant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) x T (290K) x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bandwidth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”.</w:t>
            </w:r>
          </w:p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bandwidth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bit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rate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which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defines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number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of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resource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blocks.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We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assume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50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resource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blocks,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equal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9 MHz,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transmission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1 Mbps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downlink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-104.5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50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resource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blocks (9 MHz)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Calculated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as E + 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Signal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-to-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ratio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from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link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simulations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measurements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value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modulation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and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coding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schemes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which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data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rate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and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number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of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resource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blocks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allocated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-9 to -7 dB 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Calculated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as G +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Interference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margin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accounts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increase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in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terminal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level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caused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other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cell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.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If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we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assume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a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minimum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G-factor of -4 dB,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that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corresponds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to 10*Log10(1+10^(4/10)) = 5.5 dB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interference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margin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3 – 8 dB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Control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channel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overhead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includes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overhead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from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reference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signals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,</w:t>
            </w:r>
          </w:p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PBCH, PDCCH and PHICH.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10 – 25 %</w:t>
            </w:r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 =</w:t>
            </w:r>
          </w:p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0.4 – 1.0 dB</w:t>
            </w:r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UE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Manufacturer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Dependent</w:t>
            </w:r>
            <w:proofErr w:type="spellEnd"/>
          </w:p>
        </w:tc>
      </w:tr>
      <w:tr w:rsidR="000A4CA6" w:rsidRPr="000A4CA6" w:rsidTr="000A4CA6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Body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 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Device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Dependent</w:t>
            </w:r>
            <w:proofErr w:type="spellEnd"/>
          </w:p>
        </w:tc>
      </w:tr>
    </w:tbl>
    <w:p w:rsidR="000A4CA6" w:rsidRPr="000A4CA6" w:rsidRDefault="000A4CA6" w:rsidP="000A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</w:p>
    <w:p w:rsidR="006D506D" w:rsidRDefault="006D506D">
      <w:pPr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</w:pPr>
      <w:bookmarkStart w:id="1" w:name="TOC-2.2.-Uplink-Budget"/>
      <w:bookmarkEnd w:id="1"/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br w:type="page"/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28"/>
          <w:szCs w:val="28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lastRenderedPageBreak/>
        <w:t xml:space="preserve">2.2.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Uplink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Budget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example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uplink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from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[1],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64 kbps data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rate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two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resource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block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allocation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giving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360 kHz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transmission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bandwidth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UE terminal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power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be 24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dBm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without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body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data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connection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that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eNode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B receiver has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noise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figure of 2.0 dB,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required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Signal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Noise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Interference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Ratio (SINR) has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been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taken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from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level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simulations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performed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 [1].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interference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margin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2.0 dB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A cable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2 dB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considered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which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compensated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masthead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amplifier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(MHA)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that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introduces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gain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2.0 dB.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RX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antenna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gain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18.0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considering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3-sector macro-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65-degree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antennas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). 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conclusion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allowed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becomes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163.4 dB.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Uplink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Link Budget 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64 kbps 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dual-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antenna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receiver base 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station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53"/>
        <w:gridCol w:w="4125"/>
      </w:tblGrid>
      <w:tr w:rsidR="000A4CA6" w:rsidRPr="000A4CA6" w:rsidTr="000A4CA6">
        <w:trPr>
          <w:jc w:val="center"/>
        </w:trPr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 xml:space="preserve">Data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rate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 xml:space="preserve"> (kbps)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64</w:t>
            </w:r>
          </w:p>
        </w:tc>
      </w:tr>
      <w:tr w:rsidR="000A4CA6" w:rsidRPr="000A4CA6" w:rsidTr="000A4CA6">
        <w:trPr>
          <w:jc w:val="center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>Transmitter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 xml:space="preserve"> – UE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a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Max. TX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power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24.0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b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TX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dBi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c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Body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d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EIRP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24.0 = a + b + c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 xml:space="preserve">Receiver –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>eNode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 xml:space="preserve"> B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e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val="fr-FR" w:eastAsia="es-UY"/>
              </w:rPr>
              <w:t>Node B noise figure (dB)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f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Thermal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-118.4 = 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k(</w:t>
            </w:r>
            <w:proofErr w:type="spellStart"/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Boltzmann</w:t>
            </w:r>
            <w:proofErr w:type="spellEnd"/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 * 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T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(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290K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)* 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B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(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360kHz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Receiver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floor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-116.4 = e + f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h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SINR (dB)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-7.0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From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Simulations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performed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in [1]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Receiver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sensitivity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-123.4 = g + h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j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Interference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Margin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k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l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RX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dBi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18.0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m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MHA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Maximum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path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loss</w:t>
            </w:r>
            <w:proofErr w:type="spellEnd"/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163.4 = d – i – j – k + l - m</w:t>
            </w:r>
          </w:p>
        </w:tc>
      </w:tr>
    </w:tbl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example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</w:p>
    <w:p w:rsidR="000A4CA6" w:rsidRPr="000A4CA6" w:rsidRDefault="000A4CA6">
      <w:pPr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</w:pPr>
      <w:bookmarkStart w:id="2" w:name="TOC-2.3.-Downlink-Budget"/>
      <w:bookmarkEnd w:id="2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br w:type="page"/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28"/>
          <w:szCs w:val="28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lastRenderedPageBreak/>
        <w:t xml:space="preserve">2.3.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Downlink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Budget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example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downlink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from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[1],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1 Mbps data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rate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antenna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diversity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 and 10 MHz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bandwidth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eNode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B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power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be 46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dBm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value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typical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among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most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manufacturers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Again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SINR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value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taken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from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level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simulations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performed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 [1]. A 3 dB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interference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margin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a 1 dB control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channel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overhead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are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allowed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becomes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165.5 dB.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Downlink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Link Budget 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1 Mbps 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dual-</w:t>
      </w:r>
      <w:proofErr w:type="spellStart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>antenna</w:t>
      </w:r>
      <w:proofErr w:type="spellEnd"/>
      <w:r w:rsidRPr="000A4CA6">
        <w:rPr>
          <w:rFonts w:ascii="Arial" w:eastAsia="Times New Roman" w:hAnsi="Arial" w:cs="Arial"/>
          <w:color w:val="444444"/>
          <w:sz w:val="16"/>
          <w:szCs w:val="16"/>
          <w:lang w:eastAsia="es-UY"/>
        </w:rPr>
        <w:t xml:space="preserve"> receiver terminal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595"/>
        <w:gridCol w:w="3983"/>
      </w:tblGrid>
      <w:tr w:rsidR="000A4CA6" w:rsidRPr="000A4CA6" w:rsidTr="000A4CA6">
        <w:trPr>
          <w:jc w:val="center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 xml:space="preserve">Data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rate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 xml:space="preserve"> (Mbps)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1</w:t>
            </w:r>
          </w:p>
        </w:tc>
      </w:tr>
      <w:tr w:rsidR="000A4CA6" w:rsidRPr="000A4CA6" w:rsidTr="000A4CA6">
        <w:trPr>
          <w:jc w:val="center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>Transmitter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 xml:space="preserve"> –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>eNode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 xml:space="preserve"> B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a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HS-DSCH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power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46.0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b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TX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dBi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18.0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c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Cable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EIRP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62.0 = a + b + c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UY"/>
              </w:rPr>
              <w:t>Receiver – UE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val="fr-FR" w:eastAsia="es-UY"/>
              </w:rPr>
              <w:t>UE noise figure (dB)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7.0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f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Thermal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-104.5 = 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k(</w:t>
            </w:r>
            <w:proofErr w:type="spellStart"/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Boltzmann</w:t>
            </w:r>
            <w:proofErr w:type="spellEnd"/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 * 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T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(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290K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)* 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B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(</w:t>
            </w:r>
            <w:r w:rsidRPr="000A4CA6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360kHz</w:t>
            </w:r>
            <w:r w:rsidRPr="000A4CA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UY"/>
              </w:rPr>
              <w:t>)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g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Receiver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noise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floor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-97.5 = e + f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h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SINR (dB)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-10.0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From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Simulations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performed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in [1]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i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Receiver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sensitivity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dBm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-107.5 = g + h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j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Interference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Margin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3.0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k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Control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Channel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Overhead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RX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dBi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m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Body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</w:tr>
      <w:tr w:rsidR="000A4CA6" w:rsidRPr="000A4CA6" w:rsidTr="000A4CA6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 </w:t>
            </w:r>
          </w:p>
        </w:tc>
      </w:tr>
      <w:tr w:rsidR="000A4CA6" w:rsidRPr="000A4CA6" w:rsidTr="000A4CA6">
        <w:trPr>
          <w:jc w:val="center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Maximum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path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UY"/>
              </w:rPr>
              <w:t>loss</w:t>
            </w:r>
            <w:proofErr w:type="spellEnd"/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165.5 = d – i – j – k + l - m</w:t>
            </w:r>
          </w:p>
        </w:tc>
      </w:tr>
    </w:tbl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example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28"/>
          <w:szCs w:val="28"/>
          <w:lang w:eastAsia="es-UY"/>
        </w:rPr>
      </w:pPr>
      <w:bookmarkStart w:id="3" w:name="TOC-2.4.-Propagation-Path-Loss-Models"/>
      <w:bookmarkEnd w:id="3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2.4.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Propagation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)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Models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propagation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describes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average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signal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propagation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converts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allowed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propagation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maximum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range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.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depends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:</w:t>
      </w:r>
    </w:p>
    <w:p w:rsidR="000A4CA6" w:rsidRPr="000A4CA6" w:rsidRDefault="000A4CA6" w:rsidP="000A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proofErr w:type="gram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Environment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:</w:t>
      </w:r>
      <w:proofErr w:type="gram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urban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rural, dense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urban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suburban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open,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forest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, sea…</w:t>
      </w:r>
    </w:p>
    <w:p w:rsidR="000A4CA6" w:rsidRPr="000A4CA6" w:rsidRDefault="000A4CA6" w:rsidP="000A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Distance</w:t>
      </w:r>
      <w:proofErr w:type="spellEnd"/>
    </w:p>
    <w:p w:rsidR="000A4CA6" w:rsidRPr="000A4CA6" w:rsidRDefault="000A4CA6" w:rsidP="000A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Frequency</w:t>
      </w:r>
      <w:proofErr w:type="spellEnd"/>
    </w:p>
    <w:p w:rsidR="000A4CA6" w:rsidRPr="000A4CA6" w:rsidRDefault="000A4CA6" w:rsidP="000A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atmospheric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conditions</w:t>
      </w:r>
      <w:proofErr w:type="spellEnd"/>
    </w:p>
    <w:p w:rsidR="000A4CA6" w:rsidRPr="000A4CA6" w:rsidRDefault="000A4CA6" w:rsidP="000A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Indoor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/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outdoor</w:t>
      </w:r>
      <w:proofErr w:type="spellEnd"/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color w:val="444444"/>
          <w:sz w:val="20"/>
          <w:szCs w:val="20"/>
          <w:lang w:eastAsia="es-UY"/>
        </w:rPr>
        <w:br/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Common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examples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include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Free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space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Walfish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–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Ikegami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Okumura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–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Hata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,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Longley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–Rice, Lee and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Young's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models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most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commonly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used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urban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environments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Okumura-Hata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model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described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:</w: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Urban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Areas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:</w: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hAnsi="Arial" w:cs="Arial"/>
        </w:rPr>
        <w:t xml:space="preserve"> </w:t>
      </w:r>
      <w:r w:rsidRPr="000A4CA6">
        <w:rPr>
          <w:rFonts w:ascii="Arial" w:eastAsia="Times New Roman" w:hAnsi="Arial" w:cs="Arial"/>
          <w:noProof/>
          <w:color w:val="444444"/>
          <w:sz w:val="20"/>
          <w:szCs w:val="20"/>
          <w:lang w:eastAsia="es-UY"/>
        </w:rPr>
        <w:drawing>
          <wp:inline distT="0" distB="0" distL="0" distR="0">
            <wp:extent cx="5400040" cy="2908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ta Model for Urban Areas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Small and Medium-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sized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cities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:</w: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noProof/>
          <w:color w:val="0000FF"/>
          <w:sz w:val="20"/>
          <w:szCs w:val="20"/>
          <w:lang w:eastAsia="es-UY"/>
        </w:rPr>
        <w:lastRenderedPageBreak/>
        <w:drawing>
          <wp:inline distT="0" distB="0" distL="0" distR="0">
            <wp:extent cx="3276600" cy="323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ta Model for Small and Medium Cities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CA6">
        <w:rPr>
          <w:rFonts w:ascii="Arial" w:eastAsia="Times New Roman" w:hAnsi="Arial" w:cs="Arial"/>
          <w:noProof/>
          <w:color w:val="0000FF"/>
          <w:sz w:val="20"/>
          <w:szCs w:val="20"/>
          <w:lang w:eastAsia="es-U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https://sites.google.com/site/lteencyclopedia/_/rsrc/1292708857963/lte-radio-link-budgeting-and-rf-planning/Hata%20Model%20for%20Small%20and%20Medium%20Cities.bmp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BADA9" id="Rectángulo 5" o:spid="_x0000_s1026" alt="https://sites.google.com/site/lteencyclopedia/_/rsrc/1292708857963/lte-radio-link-budgeting-and-rf-planning/Hata%20Model%20for%20Small%20and%20Medium%20Cities.bmp" href="https://sites.google.com/site/lteencyclopedia/lte-radio-link-budgeting-and-rf-planning/Hata Model for Small and Medium Cities.bmp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4CA6" w:rsidRPr="00292A7D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Large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cities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:</w: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noProof/>
          <w:color w:val="444444"/>
          <w:sz w:val="20"/>
          <w:szCs w:val="20"/>
          <w:lang w:eastAsia="es-UY"/>
        </w:rPr>
        <w:drawing>
          <wp:inline distT="0" distB="0" distL="0" distR="0">
            <wp:extent cx="3486150" cy="6191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ta Model for Large Cities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noProof/>
          <w:color w:val="0000FF"/>
          <w:sz w:val="20"/>
          <w:szCs w:val="20"/>
          <w:lang w:eastAsia="es-U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s://sites.google.com/site/lteencyclopedia/_/rsrc/1292708896321/lte-radio-link-budgeting-and-rf-planning/Hata%20Model%20for%20Large%20Cities.bmp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EBA0A" id="Rectángulo 4" o:spid="_x0000_s1026" alt="https://sites.google.com/site/lteencyclopedia/_/rsrc/1292708896321/lte-radio-link-budgeting-and-rf-planning/Hata%20Model%20for%20Large%20Cities.bmp" href="https://sites.google.com/site/lteencyclopedia/lte-radio-link-budgeting-and-rf-planning/Hata Model for Large Cities.bmp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4CA6" w:rsidRPr="000A4CA6" w:rsidRDefault="000A4CA6" w:rsidP="000A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0"/>
          <w:szCs w:val="20"/>
          <w:lang w:eastAsia="es-UY"/>
        </w:rPr>
        <w:t>where</w:t>
      </w:r>
      <w:proofErr w:type="spellEnd"/>
      <w:r w:rsidRPr="000A4CA6">
        <w:rPr>
          <w:rFonts w:ascii="Arial" w:eastAsia="Times New Roman" w:hAnsi="Arial" w:cs="Arial"/>
          <w:color w:val="444444"/>
          <w:sz w:val="20"/>
          <w:szCs w:val="20"/>
          <w:lang w:eastAsia="es-UY"/>
        </w:rPr>
        <w:t>:</w:t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</w:pPr>
      <w:bookmarkStart w:id="4" w:name="TOC-2.5.-Mapping-of-Path-Losses-to-Cell-"/>
      <w:bookmarkEnd w:id="4"/>
      <w:r w:rsidRPr="000A4CA6">
        <w:rPr>
          <w:rFonts w:ascii="Arial" w:eastAsia="Times New Roman" w:hAnsi="Arial" w:cs="Arial"/>
          <w:b/>
          <w:bCs/>
          <w:noProof/>
          <w:color w:val="444444"/>
          <w:sz w:val="28"/>
          <w:szCs w:val="28"/>
          <w:lang w:eastAsia="es-UY"/>
        </w:rPr>
        <w:drawing>
          <wp:inline distT="0" distB="0" distL="0" distR="0">
            <wp:extent cx="5400040" cy="152209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ta model Key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28"/>
          <w:szCs w:val="28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2.5.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Mapping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of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Losses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to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Sizes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164 dB,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based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assumptions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shown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table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below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following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ranges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can be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attained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LTE.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range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shown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900, 1800, 2100 and 2500 MHz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frequency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bands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.</w:t>
      </w:r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 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16"/>
          <w:szCs w:val="16"/>
          <w:lang w:eastAsia="es-UY"/>
        </w:rPr>
        <w:t>Assumptions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850"/>
        <w:gridCol w:w="993"/>
        <w:gridCol w:w="835"/>
        <w:gridCol w:w="992"/>
      </w:tblGrid>
      <w:tr w:rsidR="000A4CA6" w:rsidRPr="000A4CA6" w:rsidTr="000A4CA6">
        <w:trPr>
          <w:jc w:val="center"/>
        </w:trPr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Okumura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–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Hata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parameter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Urban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Indoor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Suburban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Indoor</w:t>
            </w:r>
            <w:proofErr w:type="spellEnd"/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Rural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Indoor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Rural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outdoor</w:t>
            </w:r>
            <w:proofErr w:type="spellEnd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UY"/>
              </w:rPr>
              <w:t>fixed</w:t>
            </w:r>
            <w:proofErr w:type="spellEnd"/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Base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station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height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(m)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80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Mobile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height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(m)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1.5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1.5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1.5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5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Mobile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antenna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gain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dBi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) 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0.0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5.0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Slow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fading standard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deviation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8.0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Location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probability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(%)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95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95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95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Correction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factor (dB)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-15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Indoor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loss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20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15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0</w:t>
            </w:r>
          </w:p>
        </w:tc>
      </w:tr>
      <w:tr w:rsidR="000A4CA6" w:rsidRPr="000A4CA6" w:rsidTr="000A4CA6">
        <w:trPr>
          <w:jc w:val="center"/>
        </w:trPr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Slow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fading </w:t>
            </w:r>
            <w:proofErr w:type="spellStart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margin</w:t>
            </w:r>
            <w:proofErr w:type="spellEnd"/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 xml:space="preserve"> (dB)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A6" w:rsidRPr="000A4CA6" w:rsidRDefault="000A4CA6" w:rsidP="000A4C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0A4CA6">
              <w:rPr>
                <w:rFonts w:ascii="Arial" w:eastAsia="Times New Roman" w:hAnsi="Arial" w:cs="Arial"/>
                <w:sz w:val="16"/>
                <w:szCs w:val="16"/>
                <w:lang w:eastAsia="es-UY"/>
              </w:rPr>
              <w:t>8.8</w:t>
            </w:r>
          </w:p>
        </w:tc>
      </w:tr>
    </w:tbl>
    <w:p w:rsidR="000A4CA6" w:rsidRPr="000A4CA6" w:rsidRDefault="000A4CA6" w:rsidP="000A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</w:p>
    <w:p w:rsidR="000A4CA6" w:rsidRPr="000A4CA6" w:rsidRDefault="000A4CA6" w:rsidP="000A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>Size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0"/>
          <w:szCs w:val="20"/>
          <w:lang w:eastAsia="es-UY"/>
        </w:rPr>
        <w:t xml:space="preserve"> in Km</w:t>
      </w:r>
    </w:p>
    <w:p w:rsidR="000A4CA6" w:rsidRPr="000A4CA6" w:rsidRDefault="00B1352C" w:rsidP="000A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es-UY"/>
        </w:rPr>
        <w:drawing>
          <wp:inline distT="0" distB="0" distL="0" distR="0">
            <wp:extent cx="3314700" cy="20478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ll Ranges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CA6" w:rsidRPr="000A4CA6">
        <w:rPr>
          <w:rFonts w:ascii="Arial" w:eastAsia="Times New Roman" w:hAnsi="Arial" w:cs="Arial"/>
          <w:noProof/>
          <w:color w:val="0000FF"/>
          <w:sz w:val="20"/>
          <w:szCs w:val="20"/>
          <w:lang w:eastAsia="es-U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sites.google.com/site/lteencyclopedia/_/rsrc/1289921682137/lte-radio-link-budgeting-and-rf-planning/Cell%20Ranges.bmp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68A93" id="Rectángulo 2" o:spid="_x0000_s1026" alt="https://sites.google.com/site/lteencyclopedia/_/rsrc/1289921682137/lte-radio-link-budgeting-and-rf-planning/Cell%20Ranges.bmp" href="https://sites.google.com/site/lteencyclopedia/lte-radio-link-budgeting-and-rf-planning/Cell Ranges.bmp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5" w:name="_GoBack"/>
      <w:bookmarkEnd w:id="5"/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28"/>
          <w:szCs w:val="28"/>
          <w:lang w:eastAsia="es-UY"/>
        </w:rPr>
      </w:pPr>
      <w:bookmarkStart w:id="6" w:name="TOC-2.6.-Comparison-to-Other-Radio-Acces"/>
      <w:bookmarkEnd w:id="6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lastRenderedPageBreak/>
        <w:t xml:space="preserve">2.6.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Comparison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to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>Other</w:t>
      </w:r>
      <w:proofErr w:type="spellEnd"/>
      <w:r w:rsidRPr="000A4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es-UY"/>
        </w:rPr>
        <w:t xml:space="preserve"> Radio Access Technologies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comparison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other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Radio Access Technologies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such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as GSM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UMTS, LTE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does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not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provide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significant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increase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cell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size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path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measurements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however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data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rate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(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services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)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provided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much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superior. In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contrast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 HSPA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LTE Link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budgets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show up to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roughly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2 dB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higher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values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which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mainly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result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of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low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interference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margins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that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can be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achieved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with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orthogonal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modulation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. 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detailed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comparison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please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refer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to </w:t>
      </w:r>
      <w:hyperlink r:id="rId14" w:history="1">
        <w:r w:rsidRPr="00292A7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 xml:space="preserve">LTE Link Budget </w:t>
        </w:r>
        <w:proofErr w:type="spellStart"/>
        <w:r w:rsidRPr="00292A7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>Comparison</w:t>
        </w:r>
        <w:proofErr w:type="spellEnd"/>
      </w:hyperlink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.</w:t>
      </w:r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</w:pPr>
      <w:bookmarkStart w:id="7" w:name="TOC-3.-References"/>
      <w:bookmarkEnd w:id="7"/>
      <w:r w:rsidRPr="000A4CA6"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  <w:t xml:space="preserve">3. </w:t>
      </w:r>
      <w:proofErr w:type="spellStart"/>
      <w:r w:rsidRPr="000A4CA6"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  <w:t>References</w:t>
      </w:r>
      <w:proofErr w:type="spellEnd"/>
    </w:p>
    <w:p w:rsidR="000A4CA6" w:rsidRPr="000A4CA6" w:rsidRDefault="000A4CA6" w:rsidP="000A4C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es-UY"/>
        </w:rPr>
      </w:pPr>
      <w:r w:rsidRPr="000A4CA6">
        <w:rPr>
          <w:rFonts w:ascii="Arial" w:eastAsia="Times New Roman" w:hAnsi="Arial" w:cs="Arial"/>
          <w:b/>
          <w:bCs/>
          <w:noProof/>
          <w:color w:val="0000FF"/>
          <w:sz w:val="32"/>
          <w:szCs w:val="32"/>
          <w:lang w:eastAsia="es-U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sites.google.com/site/lteencyclopedia/_/rsrc/1289774169230/cell-reselection-procedures-in-lte/Line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D131C" id="Rectángulo 1" o:spid="_x0000_s1026" alt="https://sites.google.com/site/lteencyclopedia/_/rsrc/1289774169230/cell-reselection-procedures-in-lte/Line.bmp" href="https://sites.google.com/site/lteencyclopedia/cell-reselection-procedures-in-lte/Line.bmp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[1] </w:t>
      </w:r>
      <w:proofErr w:type="spellStart"/>
      <w:proofErr w:type="gram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H.Holma</w:t>
      </w:r>
      <w:proofErr w:type="spellEnd"/>
      <w:proofErr w:type="gram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&amp;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A.Toskala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“WCDMA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UMTS: HSPA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Evolution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and LTE”, John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Wiley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&amp;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, 2010</w:t>
      </w:r>
    </w:p>
    <w:p w:rsidR="000A4CA6" w:rsidRPr="000A4CA6" w:rsidRDefault="000A4CA6" w:rsidP="000A4CA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UY"/>
        </w:rPr>
      </w:pPr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[2] </w:t>
      </w:r>
      <w:proofErr w:type="spellStart"/>
      <w:proofErr w:type="gram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H.Holma</w:t>
      </w:r>
      <w:proofErr w:type="spellEnd"/>
      <w:proofErr w:type="gram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&amp;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A.Toskala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, “LTE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for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UMTS: OFDMA and SC-FDMA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based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radio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access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”, John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Wiley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 xml:space="preserve"> &amp; </w:t>
      </w:r>
      <w:proofErr w:type="spellStart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Sons</w:t>
      </w:r>
      <w:proofErr w:type="spellEnd"/>
      <w:r w:rsidRPr="000A4CA6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, 2009</w:t>
      </w:r>
    </w:p>
    <w:p w:rsidR="00B974B2" w:rsidRPr="000A4CA6" w:rsidRDefault="00B974B2">
      <w:pPr>
        <w:rPr>
          <w:rFonts w:ascii="Arial" w:hAnsi="Arial" w:cs="Arial"/>
        </w:rPr>
      </w:pPr>
    </w:p>
    <w:sectPr w:rsidR="00B974B2" w:rsidRPr="000A4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2554"/>
    <w:multiLevelType w:val="multilevel"/>
    <w:tmpl w:val="8EF8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A6"/>
    <w:rsid w:val="000A4CA6"/>
    <w:rsid w:val="00292A7D"/>
    <w:rsid w:val="006D506D"/>
    <w:rsid w:val="00B1352C"/>
    <w:rsid w:val="00B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8DA"/>
  <w15:chartTrackingRefBased/>
  <w15:docId w15:val="{25F59093-DF39-4A62-8131-49175A9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4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Ttulo3">
    <w:name w:val="heading 3"/>
    <w:basedOn w:val="Normal"/>
    <w:link w:val="Ttulo3Car"/>
    <w:uiPriority w:val="9"/>
    <w:qFormat/>
    <w:rsid w:val="000A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A4CA6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customStyle="1" w:styleId="Ttulo3Car">
    <w:name w:val="Título 3 Car"/>
    <w:basedOn w:val="Fuentedeprrafopredeter"/>
    <w:link w:val="Ttulo3"/>
    <w:uiPriority w:val="9"/>
    <w:rsid w:val="000A4CA6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0A4C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lteencyclopedia/lte-radio-link-budgeting-and-rf-planning/Hata%20Model%20for%20Small%20and%20Medium%20Cities.bmp?attredirects=0" TargetMode="External"/><Relationship Id="rId13" Type="http://schemas.openxmlformats.org/officeDocument/2006/relationships/hyperlink" Target="https://sites.google.com/site/lteencyclopedia/lte-radio-link-budgeting-and-rf-planning/Cell%20Ranges.bmp?attredirects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bmp"/><Relationship Id="rId12" Type="http://schemas.openxmlformats.org/officeDocument/2006/relationships/image" Target="media/image5.b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11" Type="http://schemas.openxmlformats.org/officeDocument/2006/relationships/image" Target="media/image4.png"/><Relationship Id="rId5" Type="http://schemas.openxmlformats.org/officeDocument/2006/relationships/hyperlink" Target="https://sites.google.com/site/lteencyclopedia/cell-reselection-procedures-in-lte/Line.bmp?attredirects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lteencyclopedia/lte-radio-link-budgeting-and-rf-planning/Hata%20Model%20for%20Large%20Cities.bmp?attredirects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bmp"/><Relationship Id="rId14" Type="http://schemas.openxmlformats.org/officeDocument/2006/relationships/hyperlink" Target="https://sites.google.com/site/lteencyclopedia/lte-radio-link-budgeting-and-rf-planning/lte-link-budget-comparis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JOSE</dc:creator>
  <cp:keywords/>
  <dc:description/>
  <cp:lastModifiedBy>ACUNA JOSE</cp:lastModifiedBy>
  <cp:revision>4</cp:revision>
  <dcterms:created xsi:type="dcterms:W3CDTF">2017-08-23T17:56:00Z</dcterms:created>
  <dcterms:modified xsi:type="dcterms:W3CDTF">2017-08-23T19:26:00Z</dcterms:modified>
</cp:coreProperties>
</file>