
<file path=[Content_Types].xml><?xml version="1.0" encoding="utf-8"?>
<Types xmlns="http://schemas.openxmlformats.org/package/2006/content-types">
  <Default Extension="bmp" ContentType="image/bmp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A6" w:rsidRPr="000A4CA6" w:rsidRDefault="000A4CA6" w:rsidP="000A4C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444444"/>
          <w:sz w:val="38"/>
          <w:szCs w:val="38"/>
          <w:lang w:eastAsia="es-UY"/>
        </w:rPr>
      </w:pPr>
      <w:r w:rsidRPr="000A4CA6">
        <w:rPr>
          <w:rFonts w:ascii="Arial" w:eastAsia="Times New Roman" w:hAnsi="Arial" w:cs="Arial"/>
          <w:b/>
          <w:bCs/>
          <w:color w:val="444444"/>
          <w:sz w:val="36"/>
          <w:szCs w:val="36"/>
          <w:lang w:eastAsia="es-UY"/>
        </w:rPr>
        <w:t xml:space="preserve">1. </w:t>
      </w:r>
      <w:proofErr w:type="spellStart"/>
      <w:r w:rsidRPr="000A4CA6">
        <w:rPr>
          <w:rFonts w:ascii="Arial" w:eastAsia="Times New Roman" w:hAnsi="Arial" w:cs="Arial"/>
          <w:b/>
          <w:bCs/>
          <w:color w:val="444444"/>
          <w:sz w:val="36"/>
          <w:szCs w:val="36"/>
          <w:lang w:eastAsia="es-UY"/>
        </w:rPr>
        <w:t>Introduction</w:t>
      </w:r>
      <w:proofErr w:type="spellEnd"/>
    </w:p>
    <w:p w:rsidR="000A4CA6" w:rsidRPr="000A4CA6" w:rsidRDefault="000A4CA6" w:rsidP="000A4C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es-UY"/>
        </w:rPr>
      </w:pP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The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initial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planning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of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any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Radio Access Network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begins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with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a Radio Link Budget. As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the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name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suggests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, a link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budget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is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simply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the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accounting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of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all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of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the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gains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and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losses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from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the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transmitter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,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through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the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medium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(free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space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, cable,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waveguide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,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fiber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, etc.) to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the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receiver in a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telecommunication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system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. In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this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page,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we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will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briefly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discuss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link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budget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calculations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for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LTE.</w:t>
      </w:r>
    </w:p>
    <w:p w:rsidR="000A4CA6" w:rsidRPr="000A4CA6" w:rsidRDefault="000A4CA6" w:rsidP="000A4C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44444"/>
          <w:sz w:val="32"/>
          <w:szCs w:val="32"/>
          <w:lang w:eastAsia="es-UY"/>
        </w:rPr>
      </w:pPr>
      <w:bookmarkStart w:id="0" w:name="TOC-2.-LTE-Radio-Link-Budgeting"/>
      <w:bookmarkEnd w:id="0"/>
      <w:r w:rsidRPr="000A4CA6">
        <w:rPr>
          <w:rFonts w:ascii="Arial" w:eastAsia="Times New Roman" w:hAnsi="Arial" w:cs="Arial"/>
          <w:b/>
          <w:bCs/>
          <w:color w:val="444444"/>
          <w:sz w:val="32"/>
          <w:szCs w:val="32"/>
          <w:lang w:eastAsia="es-UY"/>
        </w:rPr>
        <w:t xml:space="preserve">2. LTE Radio Link </w:t>
      </w:r>
      <w:proofErr w:type="spellStart"/>
      <w:r w:rsidRPr="000A4CA6">
        <w:rPr>
          <w:rFonts w:ascii="Arial" w:eastAsia="Times New Roman" w:hAnsi="Arial" w:cs="Arial"/>
          <w:b/>
          <w:bCs/>
          <w:color w:val="444444"/>
          <w:sz w:val="32"/>
          <w:szCs w:val="32"/>
          <w:lang w:eastAsia="es-UY"/>
        </w:rPr>
        <w:t>Budgeting</w:t>
      </w:r>
      <w:proofErr w:type="spellEnd"/>
    </w:p>
    <w:p w:rsidR="000A4CA6" w:rsidRPr="000A4CA6" w:rsidRDefault="000A4CA6" w:rsidP="000A4C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44444"/>
          <w:sz w:val="32"/>
          <w:szCs w:val="32"/>
          <w:lang w:eastAsia="es-UY"/>
        </w:rPr>
      </w:pPr>
      <w:r w:rsidRPr="000A4CA6">
        <w:rPr>
          <w:rFonts w:ascii="Arial" w:eastAsia="Times New Roman" w:hAnsi="Arial" w:cs="Arial"/>
          <w:b/>
          <w:bCs/>
          <w:noProof/>
          <w:color w:val="0000FF"/>
          <w:sz w:val="32"/>
          <w:szCs w:val="32"/>
          <w:lang w:eastAsia="es-UY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Rectángulo 7" descr="https://sites.google.com/site/lteencyclopedia/_/rsrc/1289774169230/cell-reselection-procedures-in-lte/Line.bmp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3FFF43" id="Rectángulo 7" o:spid="_x0000_s1026" alt="https://sites.google.com/site/lteencyclopedia/_/rsrc/1289774169230/cell-reselection-procedures-in-lte/Line.bmp" href="https://sites.google.com/site/lteencyclopedia/cell-reselection-procedures-in-lte/Line.bmp?attredirects=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A4CA6" w:rsidRPr="000A4CA6" w:rsidRDefault="000A4CA6" w:rsidP="000A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s-UY"/>
        </w:rPr>
      </w:pPr>
      <w:r w:rsidRPr="000A4CA6">
        <w:rPr>
          <w:rFonts w:ascii="Arial" w:eastAsia="Times New Roman" w:hAnsi="Arial" w:cs="Arial"/>
          <w:b/>
          <w:bCs/>
          <w:color w:val="444444"/>
          <w:sz w:val="29"/>
          <w:szCs w:val="29"/>
          <w:lang w:eastAsia="es-UY"/>
        </w:rPr>
        <w:t xml:space="preserve">2.1. </w:t>
      </w:r>
      <w:proofErr w:type="spellStart"/>
      <w:r w:rsidRPr="000A4CA6">
        <w:rPr>
          <w:rFonts w:ascii="Arial" w:eastAsia="Times New Roman" w:hAnsi="Arial" w:cs="Arial"/>
          <w:b/>
          <w:bCs/>
          <w:color w:val="444444"/>
          <w:sz w:val="29"/>
          <w:szCs w:val="29"/>
          <w:lang w:eastAsia="es-UY"/>
        </w:rPr>
        <w:t>Typical</w:t>
      </w:r>
      <w:proofErr w:type="spellEnd"/>
      <w:r w:rsidRPr="000A4CA6">
        <w:rPr>
          <w:rFonts w:ascii="Arial" w:eastAsia="Times New Roman" w:hAnsi="Arial" w:cs="Arial"/>
          <w:b/>
          <w:bCs/>
          <w:color w:val="444444"/>
          <w:sz w:val="29"/>
          <w:szCs w:val="29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b/>
          <w:bCs/>
          <w:color w:val="444444"/>
          <w:sz w:val="29"/>
          <w:szCs w:val="29"/>
          <w:lang w:eastAsia="es-UY"/>
        </w:rPr>
        <w:t>Parameter</w:t>
      </w:r>
      <w:proofErr w:type="spellEnd"/>
      <w:r w:rsidRPr="000A4CA6">
        <w:rPr>
          <w:rFonts w:ascii="Arial" w:eastAsia="Times New Roman" w:hAnsi="Arial" w:cs="Arial"/>
          <w:b/>
          <w:bCs/>
          <w:color w:val="444444"/>
          <w:sz w:val="29"/>
          <w:szCs w:val="29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b/>
          <w:bCs/>
          <w:color w:val="444444"/>
          <w:sz w:val="29"/>
          <w:szCs w:val="29"/>
          <w:lang w:eastAsia="es-UY"/>
        </w:rPr>
        <w:t>Values</w:t>
      </w:r>
      <w:proofErr w:type="spellEnd"/>
      <w:r w:rsidRPr="000A4CA6">
        <w:rPr>
          <w:rFonts w:ascii="Arial" w:eastAsia="Times New Roman" w:hAnsi="Arial" w:cs="Arial"/>
          <w:b/>
          <w:bCs/>
          <w:color w:val="444444"/>
          <w:sz w:val="29"/>
          <w:szCs w:val="29"/>
          <w:lang w:eastAsia="es-UY"/>
        </w:rPr>
        <w:t> </w:t>
      </w:r>
    </w:p>
    <w:p w:rsidR="000A4CA6" w:rsidRPr="000A4CA6" w:rsidRDefault="000A4CA6" w:rsidP="000A4CA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s-UY"/>
        </w:rPr>
      </w:pP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The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link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budget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calculations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estimate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the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maximum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allowed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 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signal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attenuation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g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between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the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mobile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and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the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base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station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 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antenna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.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The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maximum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path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loss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allows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the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maximum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cell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 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range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to be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estimated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with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a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suitable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propagation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model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. 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The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cell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range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gives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the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number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of base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station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sites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required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 to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cover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the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target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geographical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proofErr w:type="gram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area.The</w:t>
      </w:r>
      <w:proofErr w:type="spellEnd"/>
      <w:proofErr w:type="gram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following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table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shows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typical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(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practical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)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parameter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values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used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for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doing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an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LTE Radio Link Budget.</w:t>
      </w:r>
    </w:p>
    <w:p w:rsidR="000A4CA6" w:rsidRPr="000A4CA6" w:rsidRDefault="000A4CA6" w:rsidP="000A4CA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s-UY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5670"/>
        <w:gridCol w:w="1701"/>
      </w:tblGrid>
      <w:tr w:rsidR="000A4CA6" w:rsidRPr="000A4CA6" w:rsidTr="000A4CA6">
        <w:trPr>
          <w:jc w:val="center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 </w:t>
            </w:r>
          </w:p>
        </w:tc>
        <w:tc>
          <w:tcPr>
            <w:tcW w:w="5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proofErr w:type="spellStart"/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Parameter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proofErr w:type="spellStart"/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Typical</w:t>
            </w:r>
            <w:proofErr w:type="spellEnd"/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Value</w:t>
            </w:r>
            <w:proofErr w:type="spellEnd"/>
          </w:p>
        </w:tc>
      </w:tr>
      <w:tr w:rsidR="000A4CA6" w:rsidRPr="000A4CA6" w:rsidTr="000A4CA6">
        <w:trPr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Base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Station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maximum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transmission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power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. A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typical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value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for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macro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cell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base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station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is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20-69 W at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the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antenna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connector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43 – 48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dBm</w:t>
            </w:r>
            <w:proofErr w:type="spellEnd"/>
          </w:p>
        </w:tc>
      </w:tr>
      <w:tr w:rsidR="000A4CA6" w:rsidRPr="000A4CA6" w:rsidTr="000A4CA6">
        <w:trPr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b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Base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Station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Antenna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Gain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Manufacturer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Dependent</w:t>
            </w:r>
            <w:proofErr w:type="spellEnd"/>
          </w:p>
        </w:tc>
      </w:tr>
      <w:tr w:rsidR="000A4CA6" w:rsidRPr="000A4CA6" w:rsidTr="000A4CA6">
        <w:trPr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c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Cable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loss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between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the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base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station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antenna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connector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and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the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antenna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.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The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cable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loss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value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depends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on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the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cable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length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, cable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thickness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and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frequency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band.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Many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installations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today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use RF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heads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where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the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power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amplifiers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are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close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to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the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antenna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making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the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cable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loss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very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small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1 – 6 dB</w:t>
            </w:r>
          </w:p>
        </w:tc>
      </w:tr>
      <w:tr w:rsidR="000A4CA6" w:rsidRPr="000A4CA6" w:rsidTr="000A4CA6">
        <w:trPr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d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Base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Station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EIRP,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Calculated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as A + B - 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 </w:t>
            </w:r>
          </w:p>
        </w:tc>
      </w:tr>
      <w:tr w:rsidR="000A4CA6" w:rsidRPr="000A4CA6" w:rsidTr="000A4CA6">
        <w:trPr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UE RF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noise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figure.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Depends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on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the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frequency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band.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Duplex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separation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and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on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the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allocated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bandwidth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6 – 11 dB</w:t>
            </w:r>
          </w:p>
        </w:tc>
      </w:tr>
      <w:tr w:rsidR="000A4CA6" w:rsidRPr="000A4CA6" w:rsidTr="000A4CA6">
        <w:trPr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f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Terminal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noise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can be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calculated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as:</w:t>
            </w:r>
          </w:p>
          <w:p w:rsidR="000A4CA6" w:rsidRPr="000A4CA6" w:rsidRDefault="000A4CA6" w:rsidP="000A4CA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“</w:t>
            </w:r>
            <w:r w:rsidRPr="000A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UY"/>
              </w:rPr>
              <w:t>K (</w:t>
            </w:r>
            <w:proofErr w:type="spellStart"/>
            <w:r w:rsidRPr="000A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UY"/>
              </w:rPr>
              <w:t>Boltzmann</w:t>
            </w:r>
            <w:proofErr w:type="spellEnd"/>
            <w:r w:rsidRPr="000A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UY"/>
              </w:rPr>
              <w:t>constant</w:t>
            </w:r>
            <w:proofErr w:type="spellEnd"/>
            <w:r w:rsidRPr="000A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UY"/>
              </w:rPr>
              <w:t xml:space="preserve">) x T (290K) x </w:t>
            </w:r>
            <w:proofErr w:type="spellStart"/>
            <w:r w:rsidRPr="000A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UY"/>
              </w:rPr>
              <w:t>bandwidth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”.</w:t>
            </w:r>
          </w:p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The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bandwidth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depends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on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bit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rate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,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which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defines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the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number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of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resource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blocks.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We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assume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50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resource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blocks,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equal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9 MHz,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transmission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for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1 Mbps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downlink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-104.5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dBm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for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50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resource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blocks (9 MHz)</w:t>
            </w:r>
          </w:p>
        </w:tc>
      </w:tr>
      <w:tr w:rsidR="000A4CA6" w:rsidRPr="000A4CA6" w:rsidTr="000A4CA6">
        <w:trPr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g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Calculated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as E + 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 </w:t>
            </w:r>
          </w:p>
        </w:tc>
      </w:tr>
      <w:tr w:rsidR="000A4CA6" w:rsidRPr="000A4CA6" w:rsidTr="000A4CA6">
        <w:trPr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h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Signal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-to-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noise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ratio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from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link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simulations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or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measurements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.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The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value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depends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on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the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modulation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and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coding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schemes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,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which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again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depend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on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the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data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rate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and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the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number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of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resource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blocks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allocated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-9 to -7 dB </w:t>
            </w:r>
          </w:p>
        </w:tc>
      </w:tr>
      <w:tr w:rsidR="000A4CA6" w:rsidRPr="000A4CA6" w:rsidTr="000A4CA6">
        <w:trPr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Calculated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as G +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 </w:t>
            </w:r>
          </w:p>
        </w:tc>
      </w:tr>
      <w:tr w:rsidR="000A4CA6" w:rsidRPr="000A4CA6" w:rsidTr="000A4CA6">
        <w:trPr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j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Interference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margin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accounts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for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the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increase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in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the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terminal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noise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level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caused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by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the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other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cell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.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If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we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assume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a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minimum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G-factor of -4 dB,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that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corresponds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to 10*Log10(1+10^(4/10)) = 5.5 dB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interference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margin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3 – 8 dB</w:t>
            </w:r>
          </w:p>
        </w:tc>
      </w:tr>
      <w:tr w:rsidR="000A4CA6" w:rsidRPr="000A4CA6" w:rsidTr="000A4CA6">
        <w:trPr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k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Control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channel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overhead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includes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the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overhead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from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reference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signals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,</w:t>
            </w:r>
          </w:p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PBCH, PDCCH and PHICH.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10 – 25 %</w:t>
            </w:r>
            <w:r w:rsidRPr="000A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UY"/>
              </w:rPr>
              <w:t> =</w:t>
            </w:r>
          </w:p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0.4 – 1.0 dB</w:t>
            </w:r>
          </w:p>
        </w:tc>
      </w:tr>
      <w:tr w:rsidR="000A4CA6" w:rsidRPr="000A4CA6" w:rsidTr="000A4CA6">
        <w:trPr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UE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antenna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gain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Manufacturer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Dependent</w:t>
            </w:r>
            <w:proofErr w:type="spellEnd"/>
          </w:p>
        </w:tc>
      </w:tr>
      <w:tr w:rsidR="000A4CA6" w:rsidRPr="000A4CA6" w:rsidTr="000A4CA6">
        <w:trPr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Body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loss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 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Device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Dependent</w:t>
            </w:r>
            <w:proofErr w:type="spellEnd"/>
          </w:p>
        </w:tc>
      </w:tr>
    </w:tbl>
    <w:p w:rsidR="000A4CA6" w:rsidRPr="000A4CA6" w:rsidRDefault="000A4CA6" w:rsidP="000A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es-UY"/>
        </w:rPr>
      </w:pPr>
    </w:p>
    <w:p w:rsidR="006D506D" w:rsidRDefault="006D506D">
      <w:pPr>
        <w:rPr>
          <w:rFonts w:ascii="Arial" w:eastAsia="Times New Roman" w:hAnsi="Arial" w:cs="Arial"/>
          <w:b/>
          <w:bCs/>
          <w:color w:val="444444"/>
          <w:sz w:val="28"/>
          <w:szCs w:val="28"/>
          <w:lang w:eastAsia="es-UY"/>
        </w:rPr>
      </w:pPr>
      <w:bookmarkStart w:id="1" w:name="TOC-2.2.-Uplink-Budget"/>
      <w:bookmarkEnd w:id="1"/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es-UY"/>
        </w:rPr>
        <w:br w:type="page"/>
      </w:r>
    </w:p>
    <w:p w:rsidR="000A4CA6" w:rsidRPr="000A4CA6" w:rsidRDefault="000A4CA6" w:rsidP="000A4CA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444444"/>
          <w:sz w:val="28"/>
          <w:szCs w:val="28"/>
          <w:lang w:eastAsia="es-UY"/>
        </w:rPr>
      </w:pPr>
      <w:r w:rsidRPr="000A4CA6">
        <w:rPr>
          <w:rFonts w:ascii="Arial" w:eastAsia="Times New Roman" w:hAnsi="Arial" w:cs="Arial"/>
          <w:b/>
          <w:bCs/>
          <w:color w:val="444444"/>
          <w:sz w:val="28"/>
          <w:szCs w:val="28"/>
          <w:lang w:eastAsia="es-UY"/>
        </w:rPr>
        <w:lastRenderedPageBreak/>
        <w:t xml:space="preserve">2.2. </w:t>
      </w:r>
      <w:proofErr w:type="spellStart"/>
      <w:r w:rsidRPr="000A4CA6">
        <w:rPr>
          <w:rFonts w:ascii="Arial" w:eastAsia="Times New Roman" w:hAnsi="Arial" w:cs="Arial"/>
          <w:b/>
          <w:bCs/>
          <w:color w:val="444444"/>
          <w:sz w:val="28"/>
          <w:szCs w:val="28"/>
          <w:lang w:eastAsia="es-UY"/>
        </w:rPr>
        <w:t>Uplink</w:t>
      </w:r>
      <w:proofErr w:type="spellEnd"/>
      <w:r w:rsidRPr="000A4CA6">
        <w:rPr>
          <w:rFonts w:ascii="Arial" w:eastAsia="Times New Roman" w:hAnsi="Arial" w:cs="Arial"/>
          <w:b/>
          <w:bCs/>
          <w:color w:val="444444"/>
          <w:sz w:val="28"/>
          <w:szCs w:val="28"/>
          <w:lang w:eastAsia="es-UY"/>
        </w:rPr>
        <w:t xml:space="preserve"> Budget</w:t>
      </w:r>
    </w:p>
    <w:p w:rsidR="000A4CA6" w:rsidRPr="000A4CA6" w:rsidRDefault="000A4CA6" w:rsidP="000A4CA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es-UY"/>
        </w:rPr>
      </w:pP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The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table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below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shows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an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example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LTE link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budget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for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the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uplink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from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[1],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assuming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a 64 kbps data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rate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and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two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resource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block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allocation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(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giving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a 360 kHz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transmission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bandwidth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).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The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UE terminal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power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is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assumed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to be 24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dBm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(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without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any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body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loss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for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a data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connection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).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It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is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assumed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that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the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eNode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B receiver has a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noise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figure of 2.0 dB, and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the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required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Signal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to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Noise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and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Interference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Ratio (SINR) has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been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taken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from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link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level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simulations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performed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in [1].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An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interference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margin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of 2.0 dB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is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assumed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. A cable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loss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of 2 dB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is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considered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,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which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is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compensated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by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assuming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a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masthead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amplifier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(MHA)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that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introduces a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gain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of 2.0 dB.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An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RX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antenna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gain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of 18.0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is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assumed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considering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a 3-sector macro-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cell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(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with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65-degree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antennas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). In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conclusion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the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maximum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allowed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path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loss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becomes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163.4 dB.</w:t>
      </w:r>
    </w:p>
    <w:p w:rsidR="000A4CA6" w:rsidRPr="000A4CA6" w:rsidRDefault="000A4CA6" w:rsidP="000A4CA6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es-UY"/>
        </w:rPr>
      </w:pPr>
      <w:proofErr w:type="spellStart"/>
      <w:r w:rsidRPr="000A4CA6">
        <w:rPr>
          <w:rFonts w:ascii="Arial" w:eastAsia="Times New Roman" w:hAnsi="Arial" w:cs="Arial"/>
          <w:color w:val="444444"/>
          <w:sz w:val="16"/>
          <w:szCs w:val="16"/>
          <w:lang w:eastAsia="es-UY"/>
        </w:rPr>
        <w:t>Uplink</w:t>
      </w:r>
      <w:proofErr w:type="spellEnd"/>
      <w:r w:rsidRPr="000A4CA6">
        <w:rPr>
          <w:rFonts w:ascii="Arial" w:eastAsia="Times New Roman" w:hAnsi="Arial" w:cs="Arial"/>
          <w:color w:val="444444"/>
          <w:sz w:val="16"/>
          <w:szCs w:val="16"/>
          <w:lang w:eastAsia="es-UY"/>
        </w:rPr>
        <w:t xml:space="preserve"> Link Budget </w:t>
      </w:r>
      <w:proofErr w:type="spellStart"/>
      <w:r w:rsidRPr="000A4CA6">
        <w:rPr>
          <w:rFonts w:ascii="Arial" w:eastAsia="Times New Roman" w:hAnsi="Arial" w:cs="Arial"/>
          <w:color w:val="444444"/>
          <w:sz w:val="16"/>
          <w:szCs w:val="16"/>
          <w:lang w:eastAsia="es-UY"/>
        </w:rPr>
        <w:t>for</w:t>
      </w:r>
      <w:proofErr w:type="spellEnd"/>
      <w:r w:rsidRPr="000A4CA6">
        <w:rPr>
          <w:rFonts w:ascii="Arial" w:eastAsia="Times New Roman" w:hAnsi="Arial" w:cs="Arial"/>
          <w:color w:val="444444"/>
          <w:sz w:val="16"/>
          <w:szCs w:val="16"/>
          <w:lang w:eastAsia="es-UY"/>
        </w:rPr>
        <w:t xml:space="preserve"> 64 kbps </w:t>
      </w:r>
      <w:proofErr w:type="spellStart"/>
      <w:r w:rsidRPr="000A4CA6">
        <w:rPr>
          <w:rFonts w:ascii="Arial" w:eastAsia="Times New Roman" w:hAnsi="Arial" w:cs="Arial"/>
          <w:color w:val="444444"/>
          <w:sz w:val="16"/>
          <w:szCs w:val="16"/>
          <w:lang w:eastAsia="es-UY"/>
        </w:rPr>
        <w:t>with</w:t>
      </w:r>
      <w:proofErr w:type="spellEnd"/>
      <w:r w:rsidRPr="000A4CA6">
        <w:rPr>
          <w:rFonts w:ascii="Arial" w:eastAsia="Times New Roman" w:hAnsi="Arial" w:cs="Arial"/>
          <w:color w:val="444444"/>
          <w:sz w:val="16"/>
          <w:szCs w:val="16"/>
          <w:lang w:eastAsia="es-UY"/>
        </w:rPr>
        <w:t xml:space="preserve"> dual-</w:t>
      </w:r>
      <w:proofErr w:type="spellStart"/>
      <w:r w:rsidRPr="000A4CA6">
        <w:rPr>
          <w:rFonts w:ascii="Arial" w:eastAsia="Times New Roman" w:hAnsi="Arial" w:cs="Arial"/>
          <w:color w:val="444444"/>
          <w:sz w:val="16"/>
          <w:szCs w:val="16"/>
          <w:lang w:eastAsia="es-UY"/>
        </w:rPr>
        <w:t>antenna</w:t>
      </w:r>
      <w:proofErr w:type="spellEnd"/>
      <w:r w:rsidRPr="000A4CA6">
        <w:rPr>
          <w:rFonts w:ascii="Arial" w:eastAsia="Times New Roman" w:hAnsi="Arial" w:cs="Arial"/>
          <w:color w:val="444444"/>
          <w:sz w:val="16"/>
          <w:szCs w:val="16"/>
          <w:lang w:eastAsia="es-UY"/>
        </w:rPr>
        <w:t xml:space="preserve"> receiver base </w:t>
      </w:r>
      <w:proofErr w:type="spellStart"/>
      <w:r w:rsidRPr="000A4CA6">
        <w:rPr>
          <w:rFonts w:ascii="Arial" w:eastAsia="Times New Roman" w:hAnsi="Arial" w:cs="Arial"/>
          <w:color w:val="444444"/>
          <w:sz w:val="16"/>
          <w:szCs w:val="16"/>
          <w:lang w:eastAsia="es-UY"/>
        </w:rPr>
        <w:t>station</w:t>
      </w:r>
      <w:proofErr w:type="spellEnd"/>
    </w:p>
    <w:p w:rsidR="000A4CA6" w:rsidRPr="000A4CA6" w:rsidRDefault="000A4CA6" w:rsidP="000A4CA6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es-UY"/>
        </w:rPr>
      </w:pPr>
      <w:r w:rsidRPr="000A4CA6">
        <w:rPr>
          <w:rFonts w:ascii="Arial" w:eastAsia="Times New Roman" w:hAnsi="Arial" w:cs="Arial"/>
          <w:color w:val="444444"/>
          <w:sz w:val="16"/>
          <w:szCs w:val="16"/>
          <w:lang w:eastAsia="es-UY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453"/>
        <w:gridCol w:w="4125"/>
      </w:tblGrid>
      <w:tr w:rsidR="000A4CA6" w:rsidRPr="000A4CA6" w:rsidTr="000A4CA6">
        <w:trPr>
          <w:jc w:val="center"/>
        </w:trPr>
        <w:tc>
          <w:tcPr>
            <w:tcW w:w="2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UY"/>
              </w:rPr>
              <w:t xml:space="preserve">Data </w:t>
            </w:r>
            <w:proofErr w:type="spellStart"/>
            <w:r w:rsidRPr="000A4C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UY"/>
              </w:rPr>
              <w:t>rate</w:t>
            </w:r>
            <w:proofErr w:type="spellEnd"/>
            <w:r w:rsidRPr="000A4C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UY"/>
              </w:rPr>
              <w:t xml:space="preserve"> (kbps)</w:t>
            </w:r>
          </w:p>
        </w:tc>
        <w:tc>
          <w:tcPr>
            <w:tcW w:w="4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UY"/>
              </w:rPr>
              <w:t>64</w:t>
            </w:r>
          </w:p>
        </w:tc>
      </w:tr>
      <w:tr w:rsidR="000A4CA6" w:rsidRPr="000A4CA6" w:rsidTr="000A4CA6">
        <w:trPr>
          <w:jc w:val="center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proofErr w:type="spellStart"/>
            <w:r w:rsidRPr="000A4C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UY"/>
              </w:rPr>
              <w:t>Transmitter</w:t>
            </w:r>
            <w:proofErr w:type="spellEnd"/>
            <w:r w:rsidRPr="000A4C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UY"/>
              </w:rPr>
              <w:t xml:space="preserve"> – UE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UY"/>
              </w:rPr>
              <w:t> </w:t>
            </w:r>
          </w:p>
        </w:tc>
      </w:tr>
      <w:tr w:rsidR="000A4CA6" w:rsidRPr="000A4CA6" w:rsidTr="000A4CA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a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Max. TX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power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(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dBm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24.0</w:t>
            </w:r>
          </w:p>
        </w:tc>
      </w:tr>
      <w:tr w:rsidR="000A4CA6" w:rsidRPr="000A4CA6" w:rsidTr="000A4CA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b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TX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antenna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gain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(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dBi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0.0</w:t>
            </w:r>
          </w:p>
        </w:tc>
      </w:tr>
      <w:tr w:rsidR="000A4CA6" w:rsidRPr="000A4CA6" w:rsidTr="000A4CA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c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Body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loss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(dB)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0.0</w:t>
            </w:r>
          </w:p>
        </w:tc>
      </w:tr>
      <w:tr w:rsidR="000A4CA6" w:rsidRPr="000A4CA6" w:rsidTr="000A4CA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d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EIRP (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dBm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)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24.0 = a + b + c</w:t>
            </w:r>
          </w:p>
        </w:tc>
      </w:tr>
      <w:tr w:rsidR="000A4CA6" w:rsidRPr="000A4CA6" w:rsidTr="000A4CA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 </w:t>
            </w:r>
          </w:p>
        </w:tc>
      </w:tr>
      <w:tr w:rsidR="000A4CA6" w:rsidRPr="000A4CA6" w:rsidTr="000A4CA6">
        <w:trPr>
          <w:jc w:val="center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UY"/>
              </w:rPr>
              <w:t xml:space="preserve">Receiver – </w:t>
            </w:r>
            <w:proofErr w:type="spellStart"/>
            <w:r w:rsidRPr="000A4C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UY"/>
              </w:rPr>
              <w:t>eNode</w:t>
            </w:r>
            <w:proofErr w:type="spellEnd"/>
            <w:r w:rsidRPr="000A4C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UY"/>
              </w:rPr>
              <w:t xml:space="preserve"> B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 </w:t>
            </w:r>
          </w:p>
        </w:tc>
      </w:tr>
      <w:tr w:rsidR="000A4CA6" w:rsidRPr="000A4CA6" w:rsidTr="000A4CA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e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val="fr-FR" w:eastAsia="es-UY"/>
              </w:rPr>
              <w:t>Node B noise figure (dB)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2.0</w:t>
            </w:r>
          </w:p>
        </w:tc>
      </w:tr>
      <w:tr w:rsidR="000A4CA6" w:rsidRPr="000A4CA6" w:rsidTr="000A4CA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f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Thermal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noise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(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dBm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-118.4 = </w:t>
            </w:r>
            <w:r w:rsidRPr="000A4C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UY"/>
              </w:rPr>
              <w:t>k(</w:t>
            </w:r>
            <w:proofErr w:type="spellStart"/>
            <w:r w:rsidRPr="000A4CA6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Boltzmann</w:t>
            </w:r>
            <w:proofErr w:type="spellEnd"/>
            <w:r w:rsidRPr="000A4C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UY"/>
              </w:rPr>
              <w:t>) * </w:t>
            </w:r>
            <w:r w:rsidRPr="000A4CA6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T</w:t>
            </w:r>
            <w:r w:rsidRPr="000A4C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UY"/>
              </w:rPr>
              <w:t>(</w:t>
            </w:r>
            <w:r w:rsidRPr="000A4CA6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290K</w:t>
            </w:r>
            <w:r w:rsidRPr="000A4C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UY"/>
              </w:rPr>
              <w:t>)* </w:t>
            </w:r>
            <w:r w:rsidRPr="000A4CA6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B</w:t>
            </w:r>
            <w:r w:rsidRPr="000A4C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UY"/>
              </w:rPr>
              <w:t>(</w:t>
            </w:r>
            <w:r w:rsidRPr="000A4CA6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360kHz</w:t>
            </w:r>
            <w:r w:rsidRPr="000A4C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UY"/>
              </w:rPr>
              <w:t>)</w:t>
            </w:r>
          </w:p>
        </w:tc>
      </w:tr>
      <w:tr w:rsidR="000A4CA6" w:rsidRPr="000A4CA6" w:rsidTr="000A4CA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g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Receiver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noise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floor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(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dBm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-116.4 = e + f</w:t>
            </w:r>
          </w:p>
        </w:tc>
      </w:tr>
      <w:tr w:rsidR="000A4CA6" w:rsidRPr="000A4CA6" w:rsidTr="000A4CA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h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SINR (dB)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-7.0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From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Simulations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performed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in [1]</w:t>
            </w:r>
          </w:p>
        </w:tc>
      </w:tr>
      <w:tr w:rsidR="000A4CA6" w:rsidRPr="000A4CA6" w:rsidTr="000A4CA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i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Receiver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sensitivity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(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dBm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-123.4 = g + h</w:t>
            </w:r>
          </w:p>
        </w:tc>
      </w:tr>
      <w:tr w:rsidR="000A4CA6" w:rsidRPr="000A4CA6" w:rsidTr="000A4CA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j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Interference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Margin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(dB)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2.0</w:t>
            </w:r>
          </w:p>
        </w:tc>
      </w:tr>
      <w:tr w:rsidR="000A4CA6" w:rsidRPr="000A4CA6" w:rsidTr="000A4CA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k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Cable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Loss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(dB)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2.0</w:t>
            </w:r>
          </w:p>
        </w:tc>
      </w:tr>
      <w:tr w:rsidR="000A4CA6" w:rsidRPr="000A4CA6" w:rsidTr="000A4CA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l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RX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antenna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gain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(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dBi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18.0</w:t>
            </w:r>
          </w:p>
        </w:tc>
      </w:tr>
      <w:tr w:rsidR="000A4CA6" w:rsidRPr="000A4CA6" w:rsidTr="000A4CA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m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MHA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gain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(dB)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2.0</w:t>
            </w:r>
          </w:p>
        </w:tc>
      </w:tr>
      <w:tr w:rsidR="000A4CA6" w:rsidRPr="000A4CA6" w:rsidTr="000A4CA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 </w:t>
            </w:r>
          </w:p>
        </w:tc>
      </w:tr>
      <w:tr w:rsidR="000A4CA6" w:rsidRPr="000A4CA6" w:rsidTr="000A4CA6">
        <w:trPr>
          <w:jc w:val="center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proofErr w:type="spellStart"/>
            <w:r w:rsidRPr="000A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UY"/>
              </w:rPr>
              <w:t>Maximum</w:t>
            </w:r>
            <w:proofErr w:type="spellEnd"/>
            <w:r w:rsidRPr="000A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UY"/>
              </w:rPr>
              <w:t>path</w:t>
            </w:r>
            <w:proofErr w:type="spellEnd"/>
            <w:r w:rsidRPr="000A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UY"/>
              </w:rPr>
              <w:t>loss</w:t>
            </w:r>
            <w:proofErr w:type="spellEnd"/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163.4 = d – i – j – k + l - m</w:t>
            </w:r>
          </w:p>
        </w:tc>
      </w:tr>
    </w:tbl>
    <w:p w:rsidR="000A4CA6" w:rsidRPr="000A4CA6" w:rsidRDefault="000A4CA6" w:rsidP="000A4CA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UY"/>
        </w:rPr>
      </w:pPr>
      <w:r w:rsidRPr="000A4CA6">
        <w:rPr>
          <w:rFonts w:ascii="Arial" w:eastAsia="Times New Roman" w:hAnsi="Arial" w:cs="Arial"/>
          <w:b/>
          <w:bCs/>
          <w:color w:val="444444"/>
          <w:sz w:val="20"/>
          <w:szCs w:val="20"/>
          <w:lang w:eastAsia="es-UY"/>
        </w:rPr>
        <w:t> 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The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table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below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shows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an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example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LTE link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budget</w:t>
      </w:r>
      <w:proofErr w:type="spellEnd"/>
    </w:p>
    <w:p w:rsidR="000A4CA6" w:rsidRPr="000A4CA6" w:rsidRDefault="000A4CA6">
      <w:pPr>
        <w:rPr>
          <w:rFonts w:ascii="Arial" w:eastAsia="Times New Roman" w:hAnsi="Arial" w:cs="Arial"/>
          <w:b/>
          <w:bCs/>
          <w:color w:val="444444"/>
          <w:sz w:val="28"/>
          <w:szCs w:val="28"/>
          <w:lang w:eastAsia="es-UY"/>
        </w:rPr>
      </w:pPr>
      <w:bookmarkStart w:id="2" w:name="TOC-2.3.-Downlink-Budget"/>
      <w:bookmarkEnd w:id="2"/>
      <w:r w:rsidRPr="000A4CA6">
        <w:rPr>
          <w:rFonts w:ascii="Arial" w:eastAsia="Times New Roman" w:hAnsi="Arial" w:cs="Arial"/>
          <w:b/>
          <w:bCs/>
          <w:color w:val="444444"/>
          <w:sz w:val="28"/>
          <w:szCs w:val="28"/>
          <w:lang w:eastAsia="es-UY"/>
        </w:rPr>
        <w:br w:type="page"/>
      </w:r>
    </w:p>
    <w:p w:rsidR="000A4CA6" w:rsidRPr="000A4CA6" w:rsidRDefault="000A4CA6" w:rsidP="000A4CA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444444"/>
          <w:sz w:val="28"/>
          <w:szCs w:val="28"/>
          <w:lang w:eastAsia="es-UY"/>
        </w:rPr>
      </w:pPr>
      <w:r w:rsidRPr="000A4CA6">
        <w:rPr>
          <w:rFonts w:ascii="Arial" w:eastAsia="Times New Roman" w:hAnsi="Arial" w:cs="Arial"/>
          <w:b/>
          <w:bCs/>
          <w:color w:val="444444"/>
          <w:sz w:val="28"/>
          <w:szCs w:val="28"/>
          <w:lang w:eastAsia="es-UY"/>
        </w:rPr>
        <w:lastRenderedPageBreak/>
        <w:t xml:space="preserve">2.3. </w:t>
      </w:r>
      <w:proofErr w:type="spellStart"/>
      <w:r w:rsidRPr="000A4CA6">
        <w:rPr>
          <w:rFonts w:ascii="Arial" w:eastAsia="Times New Roman" w:hAnsi="Arial" w:cs="Arial"/>
          <w:b/>
          <w:bCs/>
          <w:color w:val="444444"/>
          <w:sz w:val="28"/>
          <w:szCs w:val="28"/>
          <w:lang w:eastAsia="es-UY"/>
        </w:rPr>
        <w:t>Downlink</w:t>
      </w:r>
      <w:proofErr w:type="spellEnd"/>
      <w:r w:rsidRPr="000A4CA6">
        <w:rPr>
          <w:rFonts w:ascii="Arial" w:eastAsia="Times New Roman" w:hAnsi="Arial" w:cs="Arial"/>
          <w:b/>
          <w:bCs/>
          <w:color w:val="444444"/>
          <w:sz w:val="28"/>
          <w:szCs w:val="28"/>
          <w:lang w:eastAsia="es-UY"/>
        </w:rPr>
        <w:t xml:space="preserve"> Budget</w:t>
      </w:r>
    </w:p>
    <w:p w:rsidR="000A4CA6" w:rsidRPr="000A4CA6" w:rsidRDefault="000A4CA6" w:rsidP="000A4CA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es-UY"/>
        </w:rPr>
      </w:pP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The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table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below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shows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an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example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LTE link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budget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for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the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downlink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from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[1],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assuming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a 1 Mbps data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rate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(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assuming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antenna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diversity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) and 10 MHz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bandwidth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.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The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eNode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B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power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is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assumed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to be 46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dBm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, a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value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typical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among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most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manufacturers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.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Again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the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SINR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value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is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taken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from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link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level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simulations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performed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in [1]. A 3 dB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interference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margin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and a 1 dB control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channel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overhead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are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assumed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, and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the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maximum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allowed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path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loss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becomes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165.5 dB.</w:t>
      </w:r>
    </w:p>
    <w:p w:rsidR="000A4CA6" w:rsidRPr="000A4CA6" w:rsidRDefault="000A4CA6" w:rsidP="000A4CA6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es-UY"/>
        </w:rPr>
      </w:pPr>
      <w:proofErr w:type="spellStart"/>
      <w:r w:rsidRPr="000A4CA6">
        <w:rPr>
          <w:rFonts w:ascii="Arial" w:eastAsia="Times New Roman" w:hAnsi="Arial" w:cs="Arial"/>
          <w:color w:val="444444"/>
          <w:sz w:val="16"/>
          <w:szCs w:val="16"/>
          <w:lang w:eastAsia="es-UY"/>
        </w:rPr>
        <w:t>Downlink</w:t>
      </w:r>
      <w:proofErr w:type="spellEnd"/>
      <w:r w:rsidRPr="000A4CA6">
        <w:rPr>
          <w:rFonts w:ascii="Arial" w:eastAsia="Times New Roman" w:hAnsi="Arial" w:cs="Arial"/>
          <w:color w:val="444444"/>
          <w:sz w:val="16"/>
          <w:szCs w:val="16"/>
          <w:lang w:eastAsia="es-UY"/>
        </w:rPr>
        <w:t xml:space="preserve"> Link Budget </w:t>
      </w:r>
      <w:proofErr w:type="spellStart"/>
      <w:r w:rsidRPr="000A4CA6">
        <w:rPr>
          <w:rFonts w:ascii="Arial" w:eastAsia="Times New Roman" w:hAnsi="Arial" w:cs="Arial"/>
          <w:color w:val="444444"/>
          <w:sz w:val="16"/>
          <w:szCs w:val="16"/>
          <w:lang w:eastAsia="es-UY"/>
        </w:rPr>
        <w:t>for</w:t>
      </w:r>
      <w:proofErr w:type="spellEnd"/>
      <w:r w:rsidRPr="000A4CA6">
        <w:rPr>
          <w:rFonts w:ascii="Arial" w:eastAsia="Times New Roman" w:hAnsi="Arial" w:cs="Arial"/>
          <w:color w:val="444444"/>
          <w:sz w:val="16"/>
          <w:szCs w:val="16"/>
          <w:lang w:eastAsia="es-UY"/>
        </w:rPr>
        <w:t xml:space="preserve"> 1 Mbps </w:t>
      </w:r>
      <w:proofErr w:type="spellStart"/>
      <w:r w:rsidRPr="000A4CA6">
        <w:rPr>
          <w:rFonts w:ascii="Arial" w:eastAsia="Times New Roman" w:hAnsi="Arial" w:cs="Arial"/>
          <w:color w:val="444444"/>
          <w:sz w:val="16"/>
          <w:szCs w:val="16"/>
          <w:lang w:eastAsia="es-UY"/>
        </w:rPr>
        <w:t>with</w:t>
      </w:r>
      <w:proofErr w:type="spellEnd"/>
      <w:r w:rsidRPr="000A4CA6">
        <w:rPr>
          <w:rFonts w:ascii="Arial" w:eastAsia="Times New Roman" w:hAnsi="Arial" w:cs="Arial"/>
          <w:color w:val="444444"/>
          <w:sz w:val="16"/>
          <w:szCs w:val="16"/>
          <w:lang w:eastAsia="es-UY"/>
        </w:rPr>
        <w:t xml:space="preserve"> dual-</w:t>
      </w:r>
      <w:proofErr w:type="spellStart"/>
      <w:r w:rsidRPr="000A4CA6">
        <w:rPr>
          <w:rFonts w:ascii="Arial" w:eastAsia="Times New Roman" w:hAnsi="Arial" w:cs="Arial"/>
          <w:color w:val="444444"/>
          <w:sz w:val="16"/>
          <w:szCs w:val="16"/>
          <w:lang w:eastAsia="es-UY"/>
        </w:rPr>
        <w:t>antenna</w:t>
      </w:r>
      <w:proofErr w:type="spellEnd"/>
      <w:r w:rsidRPr="000A4CA6">
        <w:rPr>
          <w:rFonts w:ascii="Arial" w:eastAsia="Times New Roman" w:hAnsi="Arial" w:cs="Arial"/>
          <w:color w:val="444444"/>
          <w:sz w:val="16"/>
          <w:szCs w:val="16"/>
          <w:lang w:eastAsia="es-UY"/>
        </w:rPr>
        <w:t xml:space="preserve"> receiver terminal</w:t>
      </w:r>
    </w:p>
    <w:p w:rsidR="000A4CA6" w:rsidRPr="000A4CA6" w:rsidRDefault="000A4CA6" w:rsidP="000A4CA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UY"/>
        </w:rPr>
      </w:pPr>
      <w:r w:rsidRPr="000A4CA6">
        <w:rPr>
          <w:rFonts w:ascii="Arial" w:eastAsia="Times New Roman" w:hAnsi="Arial" w:cs="Arial"/>
          <w:b/>
          <w:bCs/>
          <w:color w:val="444444"/>
          <w:sz w:val="20"/>
          <w:szCs w:val="20"/>
          <w:lang w:eastAsia="es-UY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595"/>
        <w:gridCol w:w="3983"/>
      </w:tblGrid>
      <w:tr w:rsidR="000A4CA6" w:rsidRPr="000A4CA6" w:rsidTr="000A4CA6">
        <w:trPr>
          <w:jc w:val="center"/>
        </w:trPr>
        <w:tc>
          <w:tcPr>
            <w:tcW w:w="3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UY"/>
              </w:rPr>
              <w:t xml:space="preserve">Data </w:t>
            </w:r>
            <w:proofErr w:type="spellStart"/>
            <w:r w:rsidRPr="000A4C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UY"/>
              </w:rPr>
              <w:t>rate</w:t>
            </w:r>
            <w:proofErr w:type="spellEnd"/>
            <w:r w:rsidRPr="000A4C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UY"/>
              </w:rPr>
              <w:t xml:space="preserve"> (Mbps)</w:t>
            </w:r>
          </w:p>
        </w:tc>
        <w:tc>
          <w:tcPr>
            <w:tcW w:w="3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UY"/>
              </w:rPr>
              <w:t>1</w:t>
            </w:r>
          </w:p>
        </w:tc>
      </w:tr>
      <w:tr w:rsidR="000A4CA6" w:rsidRPr="000A4CA6" w:rsidTr="000A4CA6">
        <w:trPr>
          <w:jc w:val="center"/>
        </w:trPr>
        <w:tc>
          <w:tcPr>
            <w:tcW w:w="31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proofErr w:type="spellStart"/>
            <w:r w:rsidRPr="000A4C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UY"/>
              </w:rPr>
              <w:t>Transmitter</w:t>
            </w:r>
            <w:proofErr w:type="spellEnd"/>
            <w:r w:rsidRPr="000A4C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UY"/>
              </w:rPr>
              <w:t xml:space="preserve"> – </w:t>
            </w:r>
            <w:proofErr w:type="spellStart"/>
            <w:r w:rsidRPr="000A4C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UY"/>
              </w:rPr>
              <w:t>eNode</w:t>
            </w:r>
            <w:proofErr w:type="spellEnd"/>
            <w:r w:rsidRPr="000A4C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UY"/>
              </w:rPr>
              <w:t xml:space="preserve"> B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UY"/>
              </w:rPr>
              <w:t> </w:t>
            </w:r>
          </w:p>
        </w:tc>
      </w:tr>
      <w:tr w:rsidR="000A4CA6" w:rsidRPr="000A4CA6" w:rsidTr="000A4CA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a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HS-DSCH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power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(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dBm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)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46.0</w:t>
            </w:r>
          </w:p>
        </w:tc>
      </w:tr>
      <w:tr w:rsidR="000A4CA6" w:rsidRPr="000A4CA6" w:rsidTr="000A4CA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b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TX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antenna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gain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(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dBi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)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18.0</w:t>
            </w:r>
          </w:p>
        </w:tc>
      </w:tr>
      <w:tr w:rsidR="000A4CA6" w:rsidRPr="000A4CA6" w:rsidTr="000A4CA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c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Cable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loss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(dB)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2.0</w:t>
            </w:r>
          </w:p>
        </w:tc>
      </w:tr>
      <w:tr w:rsidR="000A4CA6" w:rsidRPr="000A4CA6" w:rsidTr="000A4CA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d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EIRP (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dBm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)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62.0 = a + b + c</w:t>
            </w:r>
          </w:p>
        </w:tc>
      </w:tr>
      <w:tr w:rsidR="000A4CA6" w:rsidRPr="000A4CA6" w:rsidTr="000A4CA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 </w:t>
            </w:r>
          </w:p>
        </w:tc>
      </w:tr>
      <w:tr w:rsidR="000A4CA6" w:rsidRPr="000A4CA6" w:rsidTr="000A4CA6">
        <w:trPr>
          <w:jc w:val="center"/>
        </w:trPr>
        <w:tc>
          <w:tcPr>
            <w:tcW w:w="31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UY"/>
              </w:rPr>
              <w:t>Receiver – UE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 </w:t>
            </w:r>
          </w:p>
        </w:tc>
      </w:tr>
      <w:tr w:rsidR="000A4CA6" w:rsidRPr="000A4CA6" w:rsidTr="000A4CA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val="fr-FR" w:eastAsia="es-UY"/>
              </w:rPr>
              <w:t>UE noise figure (dB)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7.0</w:t>
            </w:r>
          </w:p>
        </w:tc>
      </w:tr>
      <w:tr w:rsidR="000A4CA6" w:rsidRPr="000A4CA6" w:rsidTr="000A4CA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f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Thermal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noise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(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dBm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)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-104.5 = </w:t>
            </w:r>
            <w:r w:rsidRPr="000A4C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UY"/>
              </w:rPr>
              <w:t>k(</w:t>
            </w:r>
            <w:proofErr w:type="spellStart"/>
            <w:r w:rsidRPr="000A4CA6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Boltzmann</w:t>
            </w:r>
            <w:proofErr w:type="spellEnd"/>
            <w:r w:rsidRPr="000A4C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UY"/>
              </w:rPr>
              <w:t>) * </w:t>
            </w:r>
            <w:r w:rsidRPr="000A4CA6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T</w:t>
            </w:r>
            <w:r w:rsidRPr="000A4C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UY"/>
              </w:rPr>
              <w:t>(</w:t>
            </w:r>
            <w:r w:rsidRPr="000A4CA6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290K</w:t>
            </w:r>
            <w:r w:rsidRPr="000A4C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UY"/>
              </w:rPr>
              <w:t>)* </w:t>
            </w:r>
            <w:r w:rsidRPr="000A4CA6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B</w:t>
            </w:r>
            <w:r w:rsidRPr="000A4C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UY"/>
              </w:rPr>
              <w:t>(</w:t>
            </w:r>
            <w:r w:rsidRPr="000A4CA6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360kHz</w:t>
            </w:r>
            <w:r w:rsidRPr="000A4C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UY"/>
              </w:rPr>
              <w:t>)</w:t>
            </w:r>
          </w:p>
        </w:tc>
      </w:tr>
      <w:tr w:rsidR="000A4CA6" w:rsidRPr="000A4CA6" w:rsidTr="000A4CA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g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Receiver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noise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floor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(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dBm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)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-97.5 = e + f</w:t>
            </w:r>
          </w:p>
        </w:tc>
      </w:tr>
      <w:tr w:rsidR="000A4CA6" w:rsidRPr="000A4CA6" w:rsidTr="000A4CA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h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SINR (dB)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-10.0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From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Simulations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performed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in [1]</w:t>
            </w:r>
          </w:p>
        </w:tc>
      </w:tr>
      <w:tr w:rsidR="000A4CA6" w:rsidRPr="000A4CA6" w:rsidTr="000A4CA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i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Receiver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sensitivity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(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dBm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)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-107.5 = g + h</w:t>
            </w:r>
          </w:p>
        </w:tc>
      </w:tr>
      <w:tr w:rsidR="000A4CA6" w:rsidRPr="000A4CA6" w:rsidTr="000A4CA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j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Interference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Margin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(dB)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3.0</w:t>
            </w:r>
          </w:p>
        </w:tc>
      </w:tr>
      <w:tr w:rsidR="000A4CA6" w:rsidRPr="000A4CA6" w:rsidTr="000A4CA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k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Control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Channel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Overhead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(dB)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1.0</w:t>
            </w:r>
          </w:p>
        </w:tc>
      </w:tr>
      <w:tr w:rsidR="000A4CA6" w:rsidRPr="000A4CA6" w:rsidTr="000A4CA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l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RX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antenna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gain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(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dBi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)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0.0</w:t>
            </w:r>
          </w:p>
        </w:tc>
      </w:tr>
      <w:tr w:rsidR="000A4CA6" w:rsidRPr="000A4CA6" w:rsidTr="000A4CA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m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Body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Loss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(dB)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0.0</w:t>
            </w:r>
          </w:p>
        </w:tc>
      </w:tr>
      <w:tr w:rsidR="000A4CA6" w:rsidRPr="000A4CA6" w:rsidTr="000A4CA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 </w:t>
            </w:r>
          </w:p>
        </w:tc>
      </w:tr>
      <w:tr w:rsidR="000A4CA6" w:rsidRPr="000A4CA6" w:rsidTr="000A4CA6">
        <w:trPr>
          <w:jc w:val="center"/>
        </w:trPr>
        <w:tc>
          <w:tcPr>
            <w:tcW w:w="31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proofErr w:type="spellStart"/>
            <w:r w:rsidRPr="000A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UY"/>
              </w:rPr>
              <w:t>Maximum</w:t>
            </w:r>
            <w:proofErr w:type="spellEnd"/>
            <w:r w:rsidRPr="000A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UY"/>
              </w:rPr>
              <w:t>path</w:t>
            </w:r>
            <w:proofErr w:type="spellEnd"/>
            <w:r w:rsidRPr="000A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UY"/>
              </w:rPr>
              <w:t>loss</w:t>
            </w:r>
            <w:proofErr w:type="spellEnd"/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165.5 = d – i – j – k + l - m</w:t>
            </w:r>
          </w:p>
        </w:tc>
      </w:tr>
    </w:tbl>
    <w:p w:rsidR="000A4CA6" w:rsidRPr="000A4CA6" w:rsidRDefault="000A4CA6" w:rsidP="000A4CA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UY"/>
        </w:rPr>
      </w:pP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The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table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below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shows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an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example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LTE link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budget</w:t>
      </w:r>
      <w:proofErr w:type="spellEnd"/>
    </w:p>
    <w:p w:rsidR="000A4CA6" w:rsidRPr="000A4CA6" w:rsidRDefault="000A4CA6" w:rsidP="000A4CA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444444"/>
          <w:sz w:val="28"/>
          <w:szCs w:val="28"/>
          <w:lang w:eastAsia="es-UY"/>
        </w:rPr>
      </w:pPr>
      <w:bookmarkStart w:id="3" w:name="TOC-2.4.-Propagation-Path-Loss-Models"/>
      <w:bookmarkEnd w:id="3"/>
      <w:r w:rsidRPr="000A4CA6">
        <w:rPr>
          <w:rFonts w:ascii="Arial" w:eastAsia="Times New Roman" w:hAnsi="Arial" w:cs="Arial"/>
          <w:b/>
          <w:bCs/>
          <w:color w:val="444444"/>
          <w:sz w:val="28"/>
          <w:szCs w:val="28"/>
          <w:lang w:eastAsia="es-UY"/>
        </w:rPr>
        <w:t xml:space="preserve">2.4. </w:t>
      </w:r>
      <w:proofErr w:type="spellStart"/>
      <w:r w:rsidRPr="000A4CA6">
        <w:rPr>
          <w:rFonts w:ascii="Arial" w:eastAsia="Times New Roman" w:hAnsi="Arial" w:cs="Arial"/>
          <w:b/>
          <w:bCs/>
          <w:color w:val="444444"/>
          <w:sz w:val="28"/>
          <w:szCs w:val="28"/>
          <w:lang w:eastAsia="es-UY"/>
        </w:rPr>
        <w:t>Propagation</w:t>
      </w:r>
      <w:proofErr w:type="spellEnd"/>
      <w:r w:rsidRPr="000A4CA6">
        <w:rPr>
          <w:rFonts w:ascii="Arial" w:eastAsia="Times New Roman" w:hAnsi="Arial" w:cs="Arial"/>
          <w:b/>
          <w:bCs/>
          <w:color w:val="444444"/>
          <w:sz w:val="28"/>
          <w:szCs w:val="28"/>
          <w:lang w:eastAsia="es-UY"/>
        </w:rPr>
        <w:t xml:space="preserve"> (</w:t>
      </w:r>
      <w:proofErr w:type="spellStart"/>
      <w:r w:rsidRPr="000A4CA6">
        <w:rPr>
          <w:rFonts w:ascii="Arial" w:eastAsia="Times New Roman" w:hAnsi="Arial" w:cs="Arial"/>
          <w:b/>
          <w:bCs/>
          <w:color w:val="444444"/>
          <w:sz w:val="28"/>
          <w:szCs w:val="28"/>
          <w:lang w:eastAsia="es-UY"/>
        </w:rPr>
        <w:t>Path</w:t>
      </w:r>
      <w:proofErr w:type="spellEnd"/>
      <w:r w:rsidRPr="000A4CA6">
        <w:rPr>
          <w:rFonts w:ascii="Arial" w:eastAsia="Times New Roman" w:hAnsi="Arial" w:cs="Arial"/>
          <w:b/>
          <w:bCs/>
          <w:color w:val="444444"/>
          <w:sz w:val="28"/>
          <w:szCs w:val="28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b/>
          <w:bCs/>
          <w:color w:val="444444"/>
          <w:sz w:val="28"/>
          <w:szCs w:val="28"/>
          <w:lang w:eastAsia="es-UY"/>
        </w:rPr>
        <w:t>Loss</w:t>
      </w:r>
      <w:proofErr w:type="spellEnd"/>
      <w:r w:rsidRPr="000A4CA6">
        <w:rPr>
          <w:rFonts w:ascii="Arial" w:eastAsia="Times New Roman" w:hAnsi="Arial" w:cs="Arial"/>
          <w:b/>
          <w:bCs/>
          <w:color w:val="444444"/>
          <w:sz w:val="28"/>
          <w:szCs w:val="28"/>
          <w:lang w:eastAsia="es-UY"/>
        </w:rPr>
        <w:t xml:space="preserve">) </w:t>
      </w:r>
      <w:proofErr w:type="spellStart"/>
      <w:r w:rsidRPr="000A4CA6">
        <w:rPr>
          <w:rFonts w:ascii="Arial" w:eastAsia="Times New Roman" w:hAnsi="Arial" w:cs="Arial"/>
          <w:b/>
          <w:bCs/>
          <w:color w:val="444444"/>
          <w:sz w:val="28"/>
          <w:szCs w:val="28"/>
          <w:lang w:eastAsia="es-UY"/>
        </w:rPr>
        <w:t>Models</w:t>
      </w:r>
      <w:proofErr w:type="spellEnd"/>
    </w:p>
    <w:p w:rsidR="000A4CA6" w:rsidRPr="000A4CA6" w:rsidRDefault="000A4CA6" w:rsidP="000A4CA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UY"/>
        </w:rPr>
      </w:pPr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A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propagation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model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describes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the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average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signal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 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propagation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, and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it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converts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the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maximum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allowed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 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propagation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loss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to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the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maximum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cell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range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. 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It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depends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on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:</w:t>
      </w:r>
    </w:p>
    <w:p w:rsidR="000A4CA6" w:rsidRPr="000A4CA6" w:rsidRDefault="000A4CA6" w:rsidP="000A4C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es-UY"/>
        </w:rPr>
      </w:pPr>
      <w:proofErr w:type="spellStart"/>
      <w:proofErr w:type="gram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Environment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:</w:t>
      </w:r>
      <w:proofErr w:type="gram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urban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, rural, dense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urban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,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suburban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, open,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forest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, sea…</w:t>
      </w:r>
    </w:p>
    <w:p w:rsidR="000A4CA6" w:rsidRPr="000A4CA6" w:rsidRDefault="000A4CA6" w:rsidP="000A4C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es-UY"/>
        </w:rPr>
      </w:pP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Distance</w:t>
      </w:r>
      <w:proofErr w:type="spellEnd"/>
    </w:p>
    <w:p w:rsidR="000A4CA6" w:rsidRPr="000A4CA6" w:rsidRDefault="000A4CA6" w:rsidP="000A4C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es-UY"/>
        </w:rPr>
      </w:pP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Frequency</w:t>
      </w:r>
      <w:proofErr w:type="spellEnd"/>
    </w:p>
    <w:p w:rsidR="000A4CA6" w:rsidRPr="000A4CA6" w:rsidRDefault="000A4CA6" w:rsidP="000A4C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es-UY"/>
        </w:rPr>
      </w:pP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atmospheric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conditions</w:t>
      </w:r>
      <w:proofErr w:type="spellEnd"/>
    </w:p>
    <w:p w:rsidR="000A4CA6" w:rsidRPr="000A4CA6" w:rsidRDefault="000A4CA6" w:rsidP="000A4C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es-UY"/>
        </w:rPr>
      </w:pP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Indoor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/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outdoor</w:t>
      </w:r>
      <w:proofErr w:type="spellEnd"/>
    </w:p>
    <w:p w:rsidR="000A4CA6" w:rsidRPr="000A4CA6" w:rsidRDefault="000A4CA6" w:rsidP="000A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s-UY"/>
        </w:rPr>
      </w:pPr>
      <w:r w:rsidRPr="000A4CA6">
        <w:rPr>
          <w:rFonts w:ascii="Arial" w:eastAsia="Times New Roman" w:hAnsi="Arial" w:cs="Arial"/>
          <w:color w:val="444444"/>
          <w:sz w:val="20"/>
          <w:szCs w:val="20"/>
          <w:lang w:eastAsia="es-UY"/>
        </w:rPr>
        <w:br/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Common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examples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include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Free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space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,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Walfish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–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Ikegami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,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Okumura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–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Hata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, 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Longley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–Rice, Lee and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Young's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models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.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The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most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commonly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used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model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in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urban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environments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is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the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Okumura-Hata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model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as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described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below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:</w:t>
      </w:r>
    </w:p>
    <w:p w:rsidR="000A4CA6" w:rsidRPr="000A4CA6" w:rsidRDefault="000A4CA6" w:rsidP="000A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s-UY"/>
        </w:rPr>
      </w:pPr>
    </w:p>
    <w:p w:rsidR="000A4CA6" w:rsidRPr="000A4CA6" w:rsidRDefault="000A4CA6" w:rsidP="000A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s-UY"/>
        </w:rPr>
      </w:pP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For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Urban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Areas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:</w:t>
      </w:r>
    </w:p>
    <w:p w:rsidR="000A4CA6" w:rsidRPr="000A4CA6" w:rsidRDefault="000A4CA6" w:rsidP="000A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s-UY"/>
        </w:rPr>
      </w:pPr>
      <w:r w:rsidRPr="000A4CA6">
        <w:rPr>
          <w:rFonts w:ascii="Arial" w:hAnsi="Arial" w:cs="Arial"/>
        </w:rPr>
        <w:t xml:space="preserve"> </w:t>
      </w:r>
      <w:r w:rsidRPr="000A4CA6">
        <w:rPr>
          <w:rFonts w:ascii="Arial" w:eastAsia="Times New Roman" w:hAnsi="Arial" w:cs="Arial"/>
          <w:noProof/>
          <w:color w:val="444444"/>
          <w:sz w:val="20"/>
          <w:szCs w:val="20"/>
          <w:lang w:eastAsia="es-UY"/>
        </w:rPr>
        <w:drawing>
          <wp:inline distT="0" distB="0" distL="0" distR="0">
            <wp:extent cx="5400040" cy="29083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ata Model for Urban Areas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CA6" w:rsidRPr="000A4CA6" w:rsidRDefault="000A4CA6" w:rsidP="000A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s-UY"/>
        </w:rPr>
      </w:pP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For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Small and Medium-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sized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cities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:</w:t>
      </w:r>
    </w:p>
    <w:p w:rsidR="000A4CA6" w:rsidRPr="000A4CA6" w:rsidRDefault="000A4CA6" w:rsidP="000A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s-UY"/>
        </w:rPr>
      </w:pPr>
      <w:r w:rsidRPr="000A4CA6">
        <w:rPr>
          <w:rFonts w:ascii="Arial" w:eastAsia="Times New Roman" w:hAnsi="Arial" w:cs="Arial"/>
          <w:noProof/>
          <w:color w:val="0000FF"/>
          <w:sz w:val="20"/>
          <w:szCs w:val="20"/>
          <w:lang w:eastAsia="es-UY"/>
        </w:rPr>
        <w:lastRenderedPageBreak/>
        <w:drawing>
          <wp:inline distT="0" distB="0" distL="0" distR="0">
            <wp:extent cx="3276600" cy="3238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ata Model for Small and Medium Cities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4CA6">
        <w:rPr>
          <w:rFonts w:ascii="Arial" w:eastAsia="Times New Roman" w:hAnsi="Arial" w:cs="Arial"/>
          <w:noProof/>
          <w:color w:val="0000FF"/>
          <w:sz w:val="20"/>
          <w:szCs w:val="20"/>
          <w:lang w:eastAsia="es-UY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tángulo 5" descr="https://sites.google.com/site/lteencyclopedia/_/rsrc/1292708857963/lte-radio-link-budgeting-and-rf-planning/Hata%20Model%20for%20Small%20and%20Medium%20Cities.bmp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1BADA9" id="Rectángulo 5" o:spid="_x0000_s1026" alt="https://sites.google.com/site/lteencyclopedia/_/rsrc/1292708857963/lte-radio-link-budgeting-and-rf-planning/Hata%20Model%20for%20Small%20and%20Medium%20Cities.bmp" href="https://sites.google.com/site/lteencyclopedia/lte-radio-link-budgeting-and-rf-planning/Hata Model for Small and Medium Cities.bmp?attredirects=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A4CA6" w:rsidRPr="00292A7D" w:rsidRDefault="000A4CA6" w:rsidP="000A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s-UY"/>
        </w:rPr>
      </w:pP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For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Large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cities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:</w:t>
      </w:r>
    </w:p>
    <w:p w:rsidR="000A4CA6" w:rsidRPr="000A4CA6" w:rsidRDefault="000A4CA6" w:rsidP="000A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s-UY"/>
        </w:rPr>
      </w:pPr>
      <w:r w:rsidRPr="000A4CA6">
        <w:rPr>
          <w:rFonts w:ascii="Arial" w:eastAsia="Times New Roman" w:hAnsi="Arial" w:cs="Arial"/>
          <w:noProof/>
          <w:color w:val="444444"/>
          <w:sz w:val="20"/>
          <w:szCs w:val="20"/>
          <w:lang w:eastAsia="es-UY"/>
        </w:rPr>
        <w:drawing>
          <wp:inline distT="0" distB="0" distL="0" distR="0">
            <wp:extent cx="3486150" cy="619125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ata Model for Large Cities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CA6" w:rsidRPr="000A4CA6" w:rsidRDefault="000A4CA6" w:rsidP="000A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s-UY"/>
        </w:rPr>
      </w:pPr>
      <w:r w:rsidRPr="000A4CA6">
        <w:rPr>
          <w:rFonts w:ascii="Arial" w:eastAsia="Times New Roman" w:hAnsi="Arial" w:cs="Arial"/>
          <w:noProof/>
          <w:color w:val="0000FF"/>
          <w:sz w:val="20"/>
          <w:szCs w:val="20"/>
          <w:lang w:eastAsia="es-UY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ángulo 4" descr="https://sites.google.com/site/lteencyclopedia/_/rsrc/1292708896321/lte-radio-link-budgeting-and-rf-planning/Hata%20Model%20for%20Large%20Cities.bmp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DEBA0A" id="Rectángulo 4" o:spid="_x0000_s1026" alt="https://sites.google.com/site/lteencyclopedia/_/rsrc/1292708896321/lte-radio-link-budgeting-and-rf-planning/Hata%20Model%20for%20Large%20Cities.bmp" href="https://sites.google.com/site/lteencyclopedia/lte-radio-link-budgeting-and-rf-planning/Hata Model for Large Cities.bmp?attredirects=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A4CA6" w:rsidRPr="000A4CA6" w:rsidRDefault="000A4CA6" w:rsidP="000A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s-UY"/>
        </w:rPr>
      </w:pPr>
      <w:proofErr w:type="spellStart"/>
      <w:r w:rsidRPr="000A4CA6">
        <w:rPr>
          <w:rFonts w:ascii="Arial" w:eastAsia="Times New Roman" w:hAnsi="Arial" w:cs="Arial"/>
          <w:color w:val="444444"/>
          <w:sz w:val="20"/>
          <w:szCs w:val="20"/>
          <w:lang w:eastAsia="es-UY"/>
        </w:rPr>
        <w:t>where</w:t>
      </w:r>
      <w:proofErr w:type="spellEnd"/>
      <w:r w:rsidRPr="000A4CA6">
        <w:rPr>
          <w:rFonts w:ascii="Arial" w:eastAsia="Times New Roman" w:hAnsi="Arial" w:cs="Arial"/>
          <w:color w:val="444444"/>
          <w:sz w:val="20"/>
          <w:szCs w:val="20"/>
          <w:lang w:eastAsia="es-UY"/>
        </w:rPr>
        <w:t>:</w:t>
      </w:r>
    </w:p>
    <w:p w:rsidR="000A4CA6" w:rsidRPr="000A4CA6" w:rsidRDefault="000A4CA6" w:rsidP="000A4CA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44444"/>
          <w:sz w:val="28"/>
          <w:szCs w:val="28"/>
          <w:lang w:eastAsia="es-UY"/>
        </w:rPr>
      </w:pPr>
      <w:bookmarkStart w:id="4" w:name="TOC-2.5.-Mapping-of-Path-Losses-to-Cell-"/>
      <w:bookmarkEnd w:id="4"/>
      <w:r w:rsidRPr="000A4CA6">
        <w:rPr>
          <w:rFonts w:ascii="Arial" w:eastAsia="Times New Roman" w:hAnsi="Arial" w:cs="Arial"/>
          <w:b/>
          <w:bCs/>
          <w:noProof/>
          <w:color w:val="444444"/>
          <w:sz w:val="28"/>
          <w:szCs w:val="28"/>
          <w:lang w:eastAsia="es-UY"/>
        </w:rPr>
        <w:drawing>
          <wp:inline distT="0" distB="0" distL="0" distR="0">
            <wp:extent cx="5400040" cy="1522095"/>
            <wp:effectExtent l="0" t="0" r="0" b="190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ata model Key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CA6" w:rsidRPr="000A4CA6" w:rsidRDefault="000A4CA6" w:rsidP="000A4CA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444444"/>
          <w:sz w:val="28"/>
          <w:szCs w:val="28"/>
          <w:lang w:eastAsia="es-UY"/>
        </w:rPr>
      </w:pPr>
      <w:r w:rsidRPr="000A4CA6">
        <w:rPr>
          <w:rFonts w:ascii="Arial" w:eastAsia="Times New Roman" w:hAnsi="Arial" w:cs="Arial"/>
          <w:b/>
          <w:bCs/>
          <w:color w:val="444444"/>
          <w:sz w:val="28"/>
          <w:szCs w:val="28"/>
          <w:lang w:eastAsia="es-UY"/>
        </w:rPr>
        <w:t xml:space="preserve">2.5. </w:t>
      </w:r>
      <w:proofErr w:type="spellStart"/>
      <w:r w:rsidRPr="000A4CA6">
        <w:rPr>
          <w:rFonts w:ascii="Arial" w:eastAsia="Times New Roman" w:hAnsi="Arial" w:cs="Arial"/>
          <w:b/>
          <w:bCs/>
          <w:color w:val="444444"/>
          <w:sz w:val="28"/>
          <w:szCs w:val="28"/>
          <w:lang w:eastAsia="es-UY"/>
        </w:rPr>
        <w:t>Mapping</w:t>
      </w:r>
      <w:proofErr w:type="spellEnd"/>
      <w:r w:rsidRPr="000A4CA6">
        <w:rPr>
          <w:rFonts w:ascii="Arial" w:eastAsia="Times New Roman" w:hAnsi="Arial" w:cs="Arial"/>
          <w:b/>
          <w:bCs/>
          <w:color w:val="444444"/>
          <w:sz w:val="28"/>
          <w:szCs w:val="28"/>
          <w:lang w:eastAsia="es-UY"/>
        </w:rPr>
        <w:t xml:space="preserve"> of </w:t>
      </w:r>
      <w:proofErr w:type="spellStart"/>
      <w:r w:rsidRPr="000A4CA6">
        <w:rPr>
          <w:rFonts w:ascii="Arial" w:eastAsia="Times New Roman" w:hAnsi="Arial" w:cs="Arial"/>
          <w:b/>
          <w:bCs/>
          <w:color w:val="444444"/>
          <w:sz w:val="28"/>
          <w:szCs w:val="28"/>
          <w:lang w:eastAsia="es-UY"/>
        </w:rPr>
        <w:t>Path</w:t>
      </w:r>
      <w:proofErr w:type="spellEnd"/>
      <w:r w:rsidRPr="000A4CA6">
        <w:rPr>
          <w:rFonts w:ascii="Arial" w:eastAsia="Times New Roman" w:hAnsi="Arial" w:cs="Arial"/>
          <w:b/>
          <w:bCs/>
          <w:color w:val="444444"/>
          <w:sz w:val="28"/>
          <w:szCs w:val="28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b/>
          <w:bCs/>
          <w:color w:val="444444"/>
          <w:sz w:val="28"/>
          <w:szCs w:val="28"/>
          <w:lang w:eastAsia="es-UY"/>
        </w:rPr>
        <w:t>Losses</w:t>
      </w:r>
      <w:proofErr w:type="spellEnd"/>
      <w:r w:rsidRPr="000A4CA6">
        <w:rPr>
          <w:rFonts w:ascii="Arial" w:eastAsia="Times New Roman" w:hAnsi="Arial" w:cs="Arial"/>
          <w:b/>
          <w:bCs/>
          <w:color w:val="444444"/>
          <w:sz w:val="28"/>
          <w:szCs w:val="28"/>
          <w:lang w:eastAsia="es-UY"/>
        </w:rPr>
        <w:t xml:space="preserve"> to </w:t>
      </w:r>
      <w:proofErr w:type="spellStart"/>
      <w:r w:rsidRPr="000A4CA6">
        <w:rPr>
          <w:rFonts w:ascii="Arial" w:eastAsia="Times New Roman" w:hAnsi="Arial" w:cs="Arial"/>
          <w:b/>
          <w:bCs/>
          <w:color w:val="444444"/>
          <w:sz w:val="28"/>
          <w:szCs w:val="28"/>
          <w:lang w:eastAsia="es-UY"/>
        </w:rPr>
        <w:t>Cell</w:t>
      </w:r>
      <w:proofErr w:type="spellEnd"/>
      <w:r w:rsidRPr="000A4CA6">
        <w:rPr>
          <w:rFonts w:ascii="Arial" w:eastAsia="Times New Roman" w:hAnsi="Arial" w:cs="Arial"/>
          <w:b/>
          <w:bCs/>
          <w:color w:val="444444"/>
          <w:sz w:val="28"/>
          <w:szCs w:val="28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b/>
          <w:bCs/>
          <w:color w:val="444444"/>
          <w:sz w:val="28"/>
          <w:szCs w:val="28"/>
          <w:lang w:eastAsia="es-UY"/>
        </w:rPr>
        <w:t>Sizes</w:t>
      </w:r>
      <w:proofErr w:type="spellEnd"/>
    </w:p>
    <w:p w:rsidR="000A4CA6" w:rsidRPr="000A4CA6" w:rsidRDefault="000A4CA6" w:rsidP="000A4CA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es-UY"/>
        </w:rPr>
      </w:pP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For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a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path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loss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of 164 dB,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based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on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the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assumptions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shown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in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the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table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below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the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following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cell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ranges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can be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attained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with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LTE.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The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cell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range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is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shown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for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900, 1800, 2100 and 2500 MHz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frequency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bands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.</w:t>
      </w:r>
      <w:r w:rsidRPr="000A4CA6">
        <w:rPr>
          <w:rFonts w:ascii="Arial" w:eastAsia="Times New Roman" w:hAnsi="Arial" w:cs="Arial"/>
          <w:b/>
          <w:bCs/>
          <w:color w:val="444444"/>
          <w:sz w:val="20"/>
          <w:szCs w:val="20"/>
          <w:lang w:eastAsia="es-UY"/>
        </w:rPr>
        <w:t> </w:t>
      </w:r>
    </w:p>
    <w:p w:rsidR="000A4CA6" w:rsidRPr="000A4CA6" w:rsidRDefault="000A4CA6" w:rsidP="000A4CA6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es-UY"/>
        </w:rPr>
      </w:pPr>
      <w:proofErr w:type="spellStart"/>
      <w:r w:rsidRPr="000A4CA6">
        <w:rPr>
          <w:rFonts w:ascii="Arial" w:eastAsia="Times New Roman" w:hAnsi="Arial" w:cs="Arial"/>
          <w:b/>
          <w:bCs/>
          <w:color w:val="444444"/>
          <w:sz w:val="16"/>
          <w:szCs w:val="16"/>
          <w:lang w:eastAsia="es-UY"/>
        </w:rPr>
        <w:t>Assumptions</w:t>
      </w:r>
      <w:proofErr w:type="spellEnd"/>
    </w:p>
    <w:p w:rsidR="000A4CA6" w:rsidRPr="000A4CA6" w:rsidRDefault="000A4CA6" w:rsidP="000A4CA6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es-UY"/>
        </w:rPr>
      </w:pPr>
      <w:r w:rsidRPr="000A4CA6">
        <w:rPr>
          <w:rFonts w:ascii="Arial" w:eastAsia="Times New Roman" w:hAnsi="Arial" w:cs="Arial"/>
          <w:b/>
          <w:bCs/>
          <w:color w:val="444444"/>
          <w:sz w:val="20"/>
          <w:szCs w:val="20"/>
          <w:lang w:eastAsia="es-UY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850"/>
        <w:gridCol w:w="993"/>
        <w:gridCol w:w="835"/>
        <w:gridCol w:w="992"/>
      </w:tblGrid>
      <w:tr w:rsidR="000A4CA6" w:rsidRPr="000A4CA6" w:rsidTr="000A4CA6">
        <w:trPr>
          <w:jc w:val="center"/>
        </w:trPr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proofErr w:type="spellStart"/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Okumura</w:t>
            </w:r>
            <w:proofErr w:type="spellEnd"/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–</w:t>
            </w:r>
            <w:proofErr w:type="spellStart"/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Hata</w:t>
            </w:r>
            <w:proofErr w:type="spellEnd"/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parameter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proofErr w:type="spellStart"/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Urban</w:t>
            </w:r>
            <w:proofErr w:type="spellEnd"/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Indoor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proofErr w:type="spellStart"/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Suburban</w:t>
            </w:r>
            <w:proofErr w:type="spellEnd"/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Indoor</w:t>
            </w:r>
            <w:proofErr w:type="spellEnd"/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 xml:space="preserve">Rural </w:t>
            </w:r>
            <w:proofErr w:type="spellStart"/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Indoor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 xml:space="preserve">Rural </w:t>
            </w:r>
            <w:proofErr w:type="spellStart"/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outdoor</w:t>
            </w:r>
            <w:proofErr w:type="spellEnd"/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fixed</w:t>
            </w:r>
            <w:proofErr w:type="spellEnd"/>
          </w:p>
        </w:tc>
      </w:tr>
      <w:tr w:rsidR="000A4CA6" w:rsidRPr="000A4CA6" w:rsidTr="000A4CA6">
        <w:trPr>
          <w:jc w:val="center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Base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station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antenna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height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(m)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50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80</w:t>
            </w:r>
          </w:p>
        </w:tc>
      </w:tr>
      <w:tr w:rsidR="000A4CA6" w:rsidRPr="000A4CA6" w:rsidTr="000A4CA6">
        <w:trPr>
          <w:jc w:val="center"/>
        </w:trPr>
        <w:tc>
          <w:tcPr>
            <w:tcW w:w="2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Mobile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antenna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height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(m)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1.5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1.5</w:t>
            </w:r>
          </w:p>
        </w:tc>
        <w:tc>
          <w:tcPr>
            <w:tcW w:w="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1.5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5</w:t>
            </w:r>
          </w:p>
        </w:tc>
      </w:tr>
      <w:tr w:rsidR="000A4CA6" w:rsidRPr="000A4CA6" w:rsidTr="000A4CA6">
        <w:trPr>
          <w:jc w:val="center"/>
        </w:trPr>
        <w:tc>
          <w:tcPr>
            <w:tcW w:w="2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Mobile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antenna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gain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(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dBi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) 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0.0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0.0</w:t>
            </w:r>
          </w:p>
        </w:tc>
        <w:tc>
          <w:tcPr>
            <w:tcW w:w="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0.0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5.0</w:t>
            </w:r>
          </w:p>
        </w:tc>
      </w:tr>
      <w:tr w:rsidR="000A4CA6" w:rsidRPr="000A4CA6" w:rsidTr="000A4CA6">
        <w:trPr>
          <w:jc w:val="center"/>
        </w:trPr>
        <w:tc>
          <w:tcPr>
            <w:tcW w:w="2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Slow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fading standard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deviation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(dB)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8.0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8.0</w:t>
            </w:r>
          </w:p>
        </w:tc>
        <w:tc>
          <w:tcPr>
            <w:tcW w:w="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8.0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8.0</w:t>
            </w:r>
          </w:p>
        </w:tc>
      </w:tr>
      <w:tr w:rsidR="000A4CA6" w:rsidRPr="000A4CA6" w:rsidTr="000A4CA6">
        <w:trPr>
          <w:jc w:val="center"/>
        </w:trPr>
        <w:tc>
          <w:tcPr>
            <w:tcW w:w="2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Location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probability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(%)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95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95</w:t>
            </w:r>
          </w:p>
        </w:tc>
        <w:tc>
          <w:tcPr>
            <w:tcW w:w="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95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95</w:t>
            </w:r>
          </w:p>
        </w:tc>
      </w:tr>
      <w:tr w:rsidR="000A4CA6" w:rsidRPr="000A4CA6" w:rsidTr="000A4CA6">
        <w:trPr>
          <w:jc w:val="center"/>
        </w:trPr>
        <w:tc>
          <w:tcPr>
            <w:tcW w:w="2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Correction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factor (dB)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-5</w:t>
            </w:r>
          </w:p>
        </w:tc>
        <w:tc>
          <w:tcPr>
            <w:tcW w:w="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-15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-15</w:t>
            </w:r>
          </w:p>
        </w:tc>
      </w:tr>
      <w:tr w:rsidR="000A4CA6" w:rsidRPr="000A4CA6" w:rsidTr="000A4CA6">
        <w:trPr>
          <w:jc w:val="center"/>
        </w:trPr>
        <w:tc>
          <w:tcPr>
            <w:tcW w:w="2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Indoor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loss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(dB)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20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15</w:t>
            </w:r>
          </w:p>
        </w:tc>
        <w:tc>
          <w:tcPr>
            <w:tcW w:w="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0</w:t>
            </w:r>
          </w:p>
        </w:tc>
      </w:tr>
      <w:tr w:rsidR="000A4CA6" w:rsidRPr="000A4CA6" w:rsidTr="000A4CA6">
        <w:trPr>
          <w:jc w:val="center"/>
        </w:trPr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Slow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fading </w:t>
            </w:r>
            <w:proofErr w:type="spellStart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margin</w:t>
            </w:r>
            <w:proofErr w:type="spellEnd"/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(dB)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8.8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8.8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A6" w:rsidRPr="000A4CA6" w:rsidRDefault="000A4CA6" w:rsidP="000A4CA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0A4CA6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8.8</w:t>
            </w:r>
          </w:p>
        </w:tc>
      </w:tr>
    </w:tbl>
    <w:p w:rsidR="000A4CA6" w:rsidRPr="000A4CA6" w:rsidRDefault="000A4CA6" w:rsidP="000A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es-UY"/>
        </w:rPr>
      </w:pPr>
    </w:p>
    <w:p w:rsidR="000A4CA6" w:rsidRPr="000A4CA6" w:rsidRDefault="000A4CA6" w:rsidP="000A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es-UY"/>
        </w:rPr>
      </w:pPr>
      <w:proofErr w:type="spellStart"/>
      <w:r w:rsidRPr="000A4CA6">
        <w:rPr>
          <w:rFonts w:ascii="Arial" w:eastAsia="Times New Roman" w:hAnsi="Arial" w:cs="Arial"/>
          <w:b/>
          <w:bCs/>
          <w:color w:val="444444"/>
          <w:sz w:val="20"/>
          <w:szCs w:val="20"/>
          <w:lang w:eastAsia="es-UY"/>
        </w:rPr>
        <w:t>Cell</w:t>
      </w:r>
      <w:proofErr w:type="spellEnd"/>
      <w:r w:rsidRPr="000A4CA6">
        <w:rPr>
          <w:rFonts w:ascii="Arial" w:eastAsia="Times New Roman" w:hAnsi="Arial" w:cs="Arial"/>
          <w:b/>
          <w:bCs/>
          <w:color w:val="444444"/>
          <w:sz w:val="20"/>
          <w:szCs w:val="20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b/>
          <w:bCs/>
          <w:color w:val="444444"/>
          <w:sz w:val="20"/>
          <w:szCs w:val="20"/>
          <w:lang w:eastAsia="es-UY"/>
        </w:rPr>
        <w:t>Size</w:t>
      </w:r>
      <w:proofErr w:type="spellEnd"/>
      <w:r w:rsidRPr="000A4CA6">
        <w:rPr>
          <w:rFonts w:ascii="Arial" w:eastAsia="Times New Roman" w:hAnsi="Arial" w:cs="Arial"/>
          <w:b/>
          <w:bCs/>
          <w:color w:val="444444"/>
          <w:sz w:val="20"/>
          <w:szCs w:val="20"/>
          <w:lang w:eastAsia="es-UY"/>
        </w:rPr>
        <w:t xml:space="preserve"> in Km</w:t>
      </w:r>
    </w:p>
    <w:p w:rsidR="000A4CA6" w:rsidRPr="000A4CA6" w:rsidRDefault="00B1352C" w:rsidP="000A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es-UY"/>
        </w:rPr>
      </w:pPr>
      <w:r>
        <w:rPr>
          <w:rFonts w:ascii="Arial" w:eastAsia="Times New Roman" w:hAnsi="Arial" w:cs="Arial"/>
          <w:noProof/>
          <w:color w:val="0000FF"/>
          <w:sz w:val="20"/>
          <w:szCs w:val="20"/>
          <w:lang w:eastAsia="es-UY"/>
        </w:rPr>
        <w:drawing>
          <wp:inline distT="0" distB="0" distL="0" distR="0">
            <wp:extent cx="3314700" cy="2047875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ell Ranges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4CA6" w:rsidRPr="000A4CA6">
        <w:rPr>
          <w:rFonts w:ascii="Arial" w:eastAsia="Times New Roman" w:hAnsi="Arial" w:cs="Arial"/>
          <w:noProof/>
          <w:color w:val="0000FF"/>
          <w:sz w:val="20"/>
          <w:szCs w:val="20"/>
          <w:lang w:eastAsia="es-UY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ángulo 2" descr="https://sites.google.com/site/lteencyclopedia/_/rsrc/1289921682137/lte-radio-link-budgeting-and-rf-planning/Cell%20Ranges.bmp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268A93" id="Rectángulo 2" o:spid="_x0000_s1026" alt="https://sites.google.com/site/lteencyclopedia/_/rsrc/1289921682137/lte-radio-link-budgeting-and-rf-planning/Cell%20Ranges.bmp" href="https://sites.google.com/site/lteencyclopedia/lte-radio-link-budgeting-and-rf-planning/Cell Ranges.bmp?attredirects=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bookmarkStart w:id="5" w:name="_GoBack"/>
      <w:bookmarkEnd w:id="5"/>
    </w:p>
    <w:p w:rsidR="000A4CA6" w:rsidRPr="000A4CA6" w:rsidRDefault="000A4CA6" w:rsidP="000A4CA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444444"/>
          <w:sz w:val="28"/>
          <w:szCs w:val="28"/>
          <w:lang w:eastAsia="es-UY"/>
        </w:rPr>
      </w:pPr>
      <w:bookmarkStart w:id="6" w:name="TOC-2.6.-Comparison-to-Other-Radio-Acces"/>
      <w:bookmarkEnd w:id="6"/>
      <w:r w:rsidRPr="000A4CA6">
        <w:rPr>
          <w:rFonts w:ascii="Arial" w:eastAsia="Times New Roman" w:hAnsi="Arial" w:cs="Arial"/>
          <w:b/>
          <w:bCs/>
          <w:color w:val="444444"/>
          <w:sz w:val="28"/>
          <w:szCs w:val="28"/>
          <w:lang w:eastAsia="es-UY"/>
        </w:rPr>
        <w:lastRenderedPageBreak/>
        <w:t xml:space="preserve">2.6. </w:t>
      </w:r>
      <w:proofErr w:type="spellStart"/>
      <w:r w:rsidRPr="000A4CA6">
        <w:rPr>
          <w:rFonts w:ascii="Arial" w:eastAsia="Times New Roman" w:hAnsi="Arial" w:cs="Arial"/>
          <w:b/>
          <w:bCs/>
          <w:color w:val="444444"/>
          <w:sz w:val="28"/>
          <w:szCs w:val="28"/>
          <w:lang w:eastAsia="es-UY"/>
        </w:rPr>
        <w:t>Comparison</w:t>
      </w:r>
      <w:proofErr w:type="spellEnd"/>
      <w:r w:rsidRPr="000A4CA6">
        <w:rPr>
          <w:rFonts w:ascii="Arial" w:eastAsia="Times New Roman" w:hAnsi="Arial" w:cs="Arial"/>
          <w:b/>
          <w:bCs/>
          <w:color w:val="444444"/>
          <w:sz w:val="28"/>
          <w:szCs w:val="28"/>
          <w:lang w:eastAsia="es-UY"/>
        </w:rPr>
        <w:t xml:space="preserve"> to </w:t>
      </w:r>
      <w:proofErr w:type="spellStart"/>
      <w:r w:rsidRPr="000A4CA6">
        <w:rPr>
          <w:rFonts w:ascii="Arial" w:eastAsia="Times New Roman" w:hAnsi="Arial" w:cs="Arial"/>
          <w:b/>
          <w:bCs/>
          <w:color w:val="444444"/>
          <w:sz w:val="28"/>
          <w:szCs w:val="28"/>
          <w:lang w:eastAsia="es-UY"/>
        </w:rPr>
        <w:t>Other</w:t>
      </w:r>
      <w:proofErr w:type="spellEnd"/>
      <w:r w:rsidRPr="000A4CA6">
        <w:rPr>
          <w:rFonts w:ascii="Arial" w:eastAsia="Times New Roman" w:hAnsi="Arial" w:cs="Arial"/>
          <w:b/>
          <w:bCs/>
          <w:color w:val="444444"/>
          <w:sz w:val="28"/>
          <w:szCs w:val="28"/>
          <w:lang w:eastAsia="es-UY"/>
        </w:rPr>
        <w:t xml:space="preserve"> Radio Access Technologies</w:t>
      </w:r>
    </w:p>
    <w:p w:rsidR="000A4CA6" w:rsidRPr="000A4CA6" w:rsidRDefault="000A4CA6" w:rsidP="000A4CA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UY"/>
        </w:rPr>
      </w:pPr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In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comparison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to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other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Radio Access Technologies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such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as GSM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or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UMTS, LTE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does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not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provide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a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significant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increase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in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cell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size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or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path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loss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measurements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,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however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,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the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data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rate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(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services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)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provided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is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much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superior. In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contrast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to HSPA link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budgets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,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the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LTE Link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budgets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show up to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roughly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2 dB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higher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values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,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which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is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mainly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a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result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of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low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interference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margins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that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can be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achieved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with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orthogonal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modulation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. 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For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a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detailed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comparison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please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refer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to </w:t>
      </w:r>
      <w:hyperlink r:id="rId14" w:history="1">
        <w:r w:rsidRPr="00292A7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UY"/>
          </w:rPr>
          <w:t xml:space="preserve">LTE Link Budget </w:t>
        </w:r>
        <w:proofErr w:type="spellStart"/>
        <w:r w:rsidRPr="00292A7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UY"/>
          </w:rPr>
          <w:t>Comparison</w:t>
        </w:r>
        <w:proofErr w:type="spellEnd"/>
      </w:hyperlink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.</w:t>
      </w:r>
    </w:p>
    <w:p w:rsidR="000A4CA6" w:rsidRPr="000A4CA6" w:rsidRDefault="000A4CA6" w:rsidP="000A4C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44444"/>
          <w:sz w:val="32"/>
          <w:szCs w:val="32"/>
          <w:lang w:eastAsia="es-UY"/>
        </w:rPr>
      </w:pPr>
      <w:bookmarkStart w:id="7" w:name="TOC-3.-References"/>
      <w:bookmarkEnd w:id="7"/>
      <w:r w:rsidRPr="000A4CA6">
        <w:rPr>
          <w:rFonts w:ascii="Arial" w:eastAsia="Times New Roman" w:hAnsi="Arial" w:cs="Arial"/>
          <w:b/>
          <w:bCs/>
          <w:color w:val="444444"/>
          <w:sz w:val="32"/>
          <w:szCs w:val="32"/>
          <w:lang w:eastAsia="es-UY"/>
        </w:rPr>
        <w:t xml:space="preserve">3. </w:t>
      </w:r>
      <w:proofErr w:type="spellStart"/>
      <w:r w:rsidRPr="000A4CA6">
        <w:rPr>
          <w:rFonts w:ascii="Arial" w:eastAsia="Times New Roman" w:hAnsi="Arial" w:cs="Arial"/>
          <w:b/>
          <w:bCs/>
          <w:color w:val="444444"/>
          <w:sz w:val="32"/>
          <w:szCs w:val="32"/>
          <w:lang w:eastAsia="es-UY"/>
        </w:rPr>
        <w:t>References</w:t>
      </w:r>
      <w:proofErr w:type="spellEnd"/>
    </w:p>
    <w:p w:rsidR="000A4CA6" w:rsidRPr="000A4CA6" w:rsidRDefault="000A4CA6" w:rsidP="000A4C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44444"/>
          <w:sz w:val="32"/>
          <w:szCs w:val="32"/>
          <w:lang w:eastAsia="es-UY"/>
        </w:rPr>
      </w:pPr>
      <w:r w:rsidRPr="000A4CA6">
        <w:rPr>
          <w:rFonts w:ascii="Arial" w:eastAsia="Times New Roman" w:hAnsi="Arial" w:cs="Arial"/>
          <w:b/>
          <w:bCs/>
          <w:noProof/>
          <w:color w:val="0000FF"/>
          <w:sz w:val="32"/>
          <w:szCs w:val="32"/>
          <w:lang w:eastAsia="es-UY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ángulo 1" descr="https://sites.google.com/site/lteencyclopedia/_/rsrc/1289774169230/cell-reselection-procedures-in-lte/Line.bmp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BD131C" id="Rectángulo 1" o:spid="_x0000_s1026" alt="https://sites.google.com/site/lteencyclopedia/_/rsrc/1289774169230/cell-reselection-procedures-in-lte/Line.bmp" href="https://sites.google.com/site/lteencyclopedia/cell-reselection-procedures-in-lte/Line.bmp?attredirects=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A4CA6" w:rsidRPr="000A4CA6" w:rsidRDefault="000A4CA6" w:rsidP="000A4CA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es-UY"/>
        </w:rPr>
      </w:pPr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[1] </w:t>
      </w:r>
      <w:proofErr w:type="spellStart"/>
      <w:proofErr w:type="gram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H.Holma</w:t>
      </w:r>
      <w:proofErr w:type="spellEnd"/>
      <w:proofErr w:type="gram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&amp;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A.Toskala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, “WCDMA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for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UMTS: HSPA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Evolution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and LTE”, John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Wiley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&amp;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Sons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, 2010</w:t>
      </w:r>
    </w:p>
    <w:p w:rsidR="000A4CA6" w:rsidRPr="000A4CA6" w:rsidRDefault="000A4CA6" w:rsidP="000A4CA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es-UY"/>
        </w:rPr>
      </w:pPr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[2] </w:t>
      </w:r>
      <w:proofErr w:type="spellStart"/>
      <w:proofErr w:type="gram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H.Holma</w:t>
      </w:r>
      <w:proofErr w:type="spellEnd"/>
      <w:proofErr w:type="gram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&amp;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A.Toskala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, “LTE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for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UMTS: OFDMA and SC-FDMA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based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radio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access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”, John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Wiley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 xml:space="preserve"> &amp; </w:t>
      </w:r>
      <w:proofErr w:type="spellStart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Sons</w:t>
      </w:r>
      <w:proofErr w:type="spellEnd"/>
      <w:r w:rsidRPr="000A4CA6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, 2009</w:t>
      </w:r>
    </w:p>
    <w:p w:rsidR="00B974B2" w:rsidRPr="000A4CA6" w:rsidRDefault="00B974B2">
      <w:pPr>
        <w:rPr>
          <w:rFonts w:ascii="Arial" w:hAnsi="Arial" w:cs="Arial"/>
        </w:rPr>
      </w:pPr>
    </w:p>
    <w:sectPr w:rsidR="00B974B2" w:rsidRPr="000A4C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52554"/>
    <w:multiLevelType w:val="multilevel"/>
    <w:tmpl w:val="8EF8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A6"/>
    <w:rsid w:val="000A4CA6"/>
    <w:rsid w:val="00292A7D"/>
    <w:rsid w:val="006D506D"/>
    <w:rsid w:val="00B1352C"/>
    <w:rsid w:val="00B9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88DA"/>
  <w15:chartTrackingRefBased/>
  <w15:docId w15:val="{25F59093-DF39-4A62-8131-49175A93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A4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paragraph" w:styleId="Ttulo3">
    <w:name w:val="heading 3"/>
    <w:basedOn w:val="Normal"/>
    <w:link w:val="Ttulo3Car"/>
    <w:uiPriority w:val="9"/>
    <w:qFormat/>
    <w:rsid w:val="000A4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4CA6"/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customStyle="1" w:styleId="Ttulo3Car">
    <w:name w:val="Título 3 Car"/>
    <w:basedOn w:val="Fuentedeprrafopredeter"/>
    <w:link w:val="Ttulo3"/>
    <w:uiPriority w:val="9"/>
    <w:rsid w:val="000A4CA6"/>
    <w:rPr>
      <w:rFonts w:ascii="Times New Roman" w:eastAsia="Times New Roman" w:hAnsi="Times New Roman" w:cs="Times New Roman"/>
      <w:b/>
      <w:bCs/>
      <w:sz w:val="27"/>
      <w:szCs w:val="27"/>
      <w:lang w:eastAsia="es-UY"/>
    </w:rPr>
  </w:style>
  <w:style w:type="character" w:styleId="Hipervnculo">
    <w:name w:val="Hyperlink"/>
    <w:basedOn w:val="Fuentedeprrafopredeter"/>
    <w:uiPriority w:val="99"/>
    <w:semiHidden/>
    <w:unhideWhenUsed/>
    <w:rsid w:val="000A4C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3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lteencyclopedia/lte-radio-link-budgeting-and-rf-planning/Hata%20Model%20for%20Small%20and%20Medium%20Cities.bmp?attredirects=0" TargetMode="External"/><Relationship Id="rId13" Type="http://schemas.openxmlformats.org/officeDocument/2006/relationships/hyperlink" Target="https://sites.google.com/site/lteencyclopedia/lte-radio-link-budgeting-and-rf-planning/Cell%20Ranges.bmp?attredirects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bmp"/><Relationship Id="rId12" Type="http://schemas.openxmlformats.org/officeDocument/2006/relationships/image" Target="media/image5.bm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bmp"/><Relationship Id="rId11" Type="http://schemas.openxmlformats.org/officeDocument/2006/relationships/image" Target="media/image4.png"/><Relationship Id="rId5" Type="http://schemas.openxmlformats.org/officeDocument/2006/relationships/hyperlink" Target="https://sites.google.com/site/lteencyclopedia/cell-reselection-procedures-in-lte/Line.bmp?attredirects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ites.google.com/site/lteencyclopedia/lte-radio-link-budgeting-and-rf-planning/Hata%20Model%20for%20Large%20Cities.bmp?attredirects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bmp"/><Relationship Id="rId14" Type="http://schemas.openxmlformats.org/officeDocument/2006/relationships/hyperlink" Target="https://sites.google.com/site/lteencyclopedia/lte-radio-link-budgeting-and-rf-planning/lte-link-budget-comparis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1142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ACUNA JOSE</dc:creator>
  <cp:keywords/>
  <dc:description/>
  <cp:lastModifiedBy>ACUNA JOSE</cp:lastModifiedBy>
  <cp:revision>4</cp:revision>
  <dcterms:created xsi:type="dcterms:W3CDTF">2017-08-23T17:56:00Z</dcterms:created>
  <dcterms:modified xsi:type="dcterms:W3CDTF">2017-08-23T19:26:00Z</dcterms:modified>
</cp:coreProperties>
</file>